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F8" w:rsidRPr="00F40FF8" w:rsidRDefault="00F40FF8" w:rsidP="00F40FF8">
      <w:pPr>
        <w:jc w:val="center"/>
        <w:rPr>
          <w:b/>
          <w:sz w:val="24"/>
          <w:szCs w:val="24"/>
        </w:rPr>
      </w:pPr>
      <w:r w:rsidRPr="00F40FF8">
        <w:rPr>
          <w:b/>
          <w:sz w:val="24"/>
          <w:szCs w:val="24"/>
        </w:rPr>
        <w:t>DECRETO Nº 007 DE 13 DE JANEIRO DE 2017.</w:t>
      </w:r>
    </w:p>
    <w:p w:rsidR="00F40FF8" w:rsidRPr="00F40FF8" w:rsidRDefault="00F40FF8" w:rsidP="00F40FF8">
      <w:pPr>
        <w:jc w:val="center"/>
        <w:rPr>
          <w:b/>
          <w:sz w:val="24"/>
          <w:szCs w:val="24"/>
        </w:rPr>
      </w:pPr>
    </w:p>
    <w:p w:rsidR="00F40FF8" w:rsidRPr="00F40FF8" w:rsidRDefault="00F40FF8" w:rsidP="00F40FF8">
      <w:pPr>
        <w:jc w:val="both"/>
        <w:rPr>
          <w:sz w:val="24"/>
          <w:szCs w:val="24"/>
        </w:rPr>
      </w:pPr>
    </w:p>
    <w:p w:rsidR="00F40FF8" w:rsidRPr="00F40FF8" w:rsidRDefault="00F40FF8" w:rsidP="00F40FF8">
      <w:pPr>
        <w:pStyle w:val="Recuodecorpodetexto"/>
        <w:rPr>
          <w:rFonts w:ascii="Times New Roman" w:hAnsi="Times New Roman"/>
          <w:i/>
          <w:szCs w:val="24"/>
        </w:rPr>
      </w:pPr>
      <w:r w:rsidRPr="00F40FF8">
        <w:rPr>
          <w:rFonts w:ascii="Times New Roman" w:hAnsi="Times New Roman"/>
          <w:i/>
          <w:szCs w:val="24"/>
        </w:rPr>
        <w:t>Dispõe sobre a compatibilização entre a realização da receita e a execução da Despesa, sobre a programação orçamentária e financeira do poder Executivo de 2017.</w:t>
      </w:r>
    </w:p>
    <w:p w:rsidR="00F40FF8" w:rsidRPr="00F40FF8" w:rsidRDefault="00F40FF8" w:rsidP="00F40FF8">
      <w:pPr>
        <w:ind w:left="4253"/>
        <w:jc w:val="both"/>
        <w:rPr>
          <w:sz w:val="24"/>
          <w:szCs w:val="24"/>
        </w:rPr>
      </w:pPr>
    </w:p>
    <w:p w:rsidR="00F40FF8" w:rsidRPr="00F40FF8" w:rsidRDefault="00F40FF8" w:rsidP="00F40FF8">
      <w:pPr>
        <w:ind w:left="4253"/>
        <w:jc w:val="both"/>
        <w:rPr>
          <w:sz w:val="24"/>
          <w:szCs w:val="24"/>
        </w:rPr>
      </w:pPr>
    </w:p>
    <w:p w:rsidR="00F40FF8" w:rsidRPr="00F40FF8" w:rsidRDefault="00F40FF8" w:rsidP="00F40FF8">
      <w:pPr>
        <w:ind w:left="4253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Valdir Luiz </w:t>
      </w:r>
      <w:proofErr w:type="spellStart"/>
      <w:r w:rsidRPr="00F40FF8">
        <w:rPr>
          <w:b/>
          <w:sz w:val="24"/>
          <w:szCs w:val="24"/>
        </w:rPr>
        <w:t>Sartor</w:t>
      </w:r>
      <w:proofErr w:type="spellEnd"/>
      <w:r w:rsidRPr="00F40FF8">
        <w:rPr>
          <w:b/>
          <w:sz w:val="24"/>
          <w:szCs w:val="24"/>
        </w:rPr>
        <w:t xml:space="preserve"> PREFEITO MUNICIPAL DE DEODÁPOLIS, ESTADO DE MATO GROSSO DO SUL, </w:t>
      </w:r>
      <w:r w:rsidRPr="00F40FF8">
        <w:rPr>
          <w:sz w:val="24"/>
          <w:szCs w:val="24"/>
        </w:rPr>
        <w:t>no uso de suas atribuições legais, e tendo em vista o disposto no caput do art. 8º c/c art.13 da lei Complementar nº 101, de 04 de maio de 2000,</w:t>
      </w:r>
    </w:p>
    <w:p w:rsidR="00F40FF8" w:rsidRPr="00F40FF8" w:rsidRDefault="00F40FF8" w:rsidP="00F40FF8">
      <w:pPr>
        <w:ind w:firstLine="1985"/>
        <w:jc w:val="both"/>
        <w:rPr>
          <w:b/>
          <w:sz w:val="24"/>
          <w:szCs w:val="24"/>
        </w:rPr>
      </w:pPr>
    </w:p>
    <w:p w:rsidR="00F40FF8" w:rsidRPr="00F40FF8" w:rsidRDefault="00F40FF8" w:rsidP="00F40FF8">
      <w:pPr>
        <w:ind w:firstLine="1985"/>
        <w:jc w:val="center"/>
        <w:rPr>
          <w:b/>
          <w:sz w:val="24"/>
          <w:szCs w:val="24"/>
        </w:rPr>
      </w:pPr>
      <w:r w:rsidRPr="00F40FF8">
        <w:rPr>
          <w:b/>
          <w:sz w:val="24"/>
          <w:szCs w:val="24"/>
        </w:rPr>
        <w:t>DECRETA:</w:t>
      </w:r>
    </w:p>
    <w:p w:rsidR="00F40FF8" w:rsidRPr="00F40FF8" w:rsidRDefault="00F40FF8" w:rsidP="00F40FF8">
      <w:pPr>
        <w:ind w:firstLine="1985"/>
        <w:jc w:val="both"/>
        <w:rPr>
          <w:b/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1º - </w:t>
      </w:r>
      <w:r w:rsidRPr="00F40FF8">
        <w:rPr>
          <w:sz w:val="24"/>
          <w:szCs w:val="24"/>
        </w:rPr>
        <w:t>A movimentação e o empenho de dotações orçamentárias dos órgãos, fundos e entidades do Poder Executivo, constantes da Lei Municipal nº 637 de 13 de Dezembro de 2016, ficam limitados aos valores constantes dos Anexos I a IV deste Decreto.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Parágrafo único: </w:t>
      </w:r>
      <w:r w:rsidRPr="00F40FF8">
        <w:rPr>
          <w:sz w:val="24"/>
          <w:szCs w:val="24"/>
        </w:rPr>
        <w:t>A realização de despesas à conta das fontes de recursos relacionados nos Anexos I a IV deste Decreto somente poderá ocorrer, respeitadas as dotações aprovadas, até o montante de efetiva arrecadação das receitas correspondentes.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2º - </w:t>
      </w:r>
      <w:r w:rsidRPr="00F40FF8">
        <w:rPr>
          <w:sz w:val="24"/>
          <w:szCs w:val="24"/>
        </w:rPr>
        <w:t>O pagamento de despesas no exercício de 2017, inclusive dos Restos a Pagar de exercícios anteriores, fica autorizado até os montantes constantes dos Anexos I a IV.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Parágrafo único – </w:t>
      </w:r>
      <w:r w:rsidRPr="00F40FF8">
        <w:rPr>
          <w:sz w:val="24"/>
          <w:szCs w:val="24"/>
        </w:rPr>
        <w:t xml:space="preserve">Para efeito do cumprimento do disposto no </w:t>
      </w:r>
      <w:r w:rsidRPr="00F40FF8">
        <w:rPr>
          <w:b/>
          <w:sz w:val="24"/>
          <w:szCs w:val="24"/>
        </w:rPr>
        <w:t xml:space="preserve">caput </w:t>
      </w:r>
      <w:r w:rsidRPr="00F40FF8">
        <w:rPr>
          <w:sz w:val="24"/>
          <w:szCs w:val="24"/>
        </w:rPr>
        <w:t>deste artigo, serão considerados: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 – as transferências, ordens e cheque bancários, emitidos no exercício financeiro de 2017;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II – a emissão de Documentos de Arrecadação de Receitas;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III – as requisições de bens e serviços realizados mediantes operações de crédito interna ou externa; e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IV – outras formas de pagamento que vierem a ser utilizadas.</w:t>
      </w:r>
    </w:p>
    <w:p w:rsidR="00F40FF8" w:rsidRPr="00F40FF8" w:rsidRDefault="00F40FF8" w:rsidP="00F40FF8">
      <w:pPr>
        <w:ind w:firstLine="1985"/>
        <w:jc w:val="both"/>
        <w:rPr>
          <w:b/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3º - </w:t>
      </w:r>
      <w:proofErr w:type="gramStart"/>
      <w:r w:rsidRPr="00F40FF8">
        <w:rPr>
          <w:sz w:val="24"/>
          <w:szCs w:val="24"/>
        </w:rPr>
        <w:t>A Secretária Municipal de Planejamento, Administração e Finanças poderá</w:t>
      </w:r>
      <w:proofErr w:type="gramEnd"/>
      <w:r w:rsidRPr="00F40FF8">
        <w:rPr>
          <w:sz w:val="24"/>
          <w:szCs w:val="24"/>
        </w:rPr>
        <w:t>: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 – no âmbito de suas competências, proceder ao remanejamento dos limites entre: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40FF8">
        <w:rPr>
          <w:sz w:val="24"/>
          <w:szCs w:val="24"/>
        </w:rPr>
        <w:lastRenderedPageBreak/>
        <w:t>órgãos</w:t>
      </w:r>
      <w:proofErr w:type="gramEnd"/>
      <w:r w:rsidRPr="00F40FF8">
        <w:rPr>
          <w:sz w:val="24"/>
          <w:szCs w:val="24"/>
        </w:rPr>
        <w:t>, respeitados os montantes dos respectivos anexos;</w:t>
      </w:r>
    </w:p>
    <w:p w:rsidR="00F40FF8" w:rsidRPr="00F40FF8" w:rsidRDefault="00F40FF8" w:rsidP="00F40FF8">
      <w:pPr>
        <w:ind w:left="2345"/>
        <w:jc w:val="both"/>
        <w:rPr>
          <w:sz w:val="24"/>
          <w:szCs w:val="24"/>
        </w:rPr>
      </w:pPr>
    </w:p>
    <w:p w:rsidR="00F40FF8" w:rsidRPr="00F40FF8" w:rsidRDefault="00F40FF8" w:rsidP="00F40FF8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40FF8">
        <w:rPr>
          <w:sz w:val="24"/>
          <w:szCs w:val="24"/>
        </w:rPr>
        <w:t>projeto</w:t>
      </w:r>
      <w:proofErr w:type="gramEnd"/>
      <w:r w:rsidRPr="00F40FF8">
        <w:rPr>
          <w:sz w:val="24"/>
          <w:szCs w:val="24"/>
        </w:rPr>
        <w:t>, atividades e operações especiais ou entre programas estratégicos e demais, no âmbito do mesmo órgão.</w:t>
      </w:r>
    </w:p>
    <w:p w:rsidR="00F40FF8" w:rsidRPr="00F40FF8" w:rsidRDefault="00F40FF8" w:rsidP="00F40FF8">
      <w:pPr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Parágrafo único – </w:t>
      </w:r>
      <w:r w:rsidRPr="00F40FF8">
        <w:rPr>
          <w:sz w:val="24"/>
          <w:szCs w:val="24"/>
        </w:rPr>
        <w:t>A Secretária Municipal de Planejamento, Administração e Finanças, desde que preservada as metas constantes dos Anexos I a IV deste decreto, fica autorizado a: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I – promover alterações nos cronogramas de pagamento estabelecidos nos mesmos Anexos.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4º - </w:t>
      </w:r>
      <w:r w:rsidRPr="00F40FF8">
        <w:rPr>
          <w:sz w:val="24"/>
          <w:szCs w:val="24"/>
        </w:rPr>
        <w:t>Os créditos suplementares e especiais que vierem a serem abertos neste exercício, bem como os créditos especiais reabertos, relativos aos grupos de despesas “outras despesas correntes”, “investimentos” e “inversões financeiras”, terão sua execução condicionada aos limites fixados à conta das fontes de recursos correspondentes.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Parágrafo único – </w:t>
      </w:r>
      <w:r w:rsidRPr="00F40FF8">
        <w:rPr>
          <w:sz w:val="24"/>
          <w:szCs w:val="24"/>
        </w:rPr>
        <w:t xml:space="preserve">A Secretária Municipal de Planejamento, Administração e </w:t>
      </w:r>
      <w:proofErr w:type="spellStart"/>
      <w:r w:rsidRPr="00F40FF8">
        <w:rPr>
          <w:sz w:val="24"/>
          <w:szCs w:val="24"/>
        </w:rPr>
        <w:t>Finançaspoderá</w:t>
      </w:r>
      <w:proofErr w:type="spellEnd"/>
      <w:r w:rsidRPr="00F40FF8">
        <w:rPr>
          <w:sz w:val="24"/>
          <w:szCs w:val="24"/>
        </w:rPr>
        <w:t>, por meio de portaria, ajustar os Anexos I a IV deste Decreto em decorrência dos créditos adicionais que vierem a ser abertos no exercício de 2017 à conta das respectivas fontes de recursos.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5º - </w:t>
      </w:r>
      <w:r w:rsidRPr="00F40FF8">
        <w:rPr>
          <w:sz w:val="24"/>
          <w:szCs w:val="24"/>
        </w:rPr>
        <w:t>A execução orçamentária da despesa com pessoal e encargos dos órgãos do Poder Executivo no exercício de 2017 exceto precatórios obedecerá, em cada mês, ao teto fixado pela lei Complementar 101/00.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 xml:space="preserve">§ 1º - As demais despesas como pessoal somente poderão ser realizadas, em cada mês, </w:t>
      </w:r>
      <w:proofErr w:type="gramStart"/>
      <w:r w:rsidRPr="00F40FF8">
        <w:rPr>
          <w:sz w:val="24"/>
          <w:szCs w:val="24"/>
        </w:rPr>
        <w:t>após</w:t>
      </w:r>
      <w:proofErr w:type="gramEnd"/>
      <w:r w:rsidRPr="00F40FF8">
        <w:rPr>
          <w:sz w:val="24"/>
          <w:szCs w:val="24"/>
        </w:rPr>
        <w:t xml:space="preserve"> assegurado o pagamento da folha normal.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§ 2º - Para efeito deste Decreto, a folha normal compreende as despesas com remuneração do mês de referência, décimo terceiro salário e férias.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sz w:val="24"/>
          <w:szCs w:val="24"/>
        </w:rPr>
        <w:t>§ 3º - A ocorrência da situação prevista no § 1º deste artigo deverá ser objeto de justificativa junto à Secretaria Municipal de Planejamento, Administração e Finanças, quando do encaminhamento das informações sobre a execução de despesas de pessoal e encargos sociais do mês correspondente.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  <w:r w:rsidRPr="00F40FF8">
        <w:rPr>
          <w:b/>
          <w:sz w:val="24"/>
          <w:szCs w:val="24"/>
        </w:rPr>
        <w:t xml:space="preserve">Artigo 6º - </w:t>
      </w:r>
      <w:r w:rsidRPr="00F40FF8">
        <w:rPr>
          <w:sz w:val="24"/>
          <w:szCs w:val="24"/>
        </w:rPr>
        <w:t>Este decreto entra em vigor na data de sua publicação, revogadas as disposições em contrário.</w:t>
      </w: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F40FF8" w:rsidRDefault="00F40FF8" w:rsidP="00F40FF8">
      <w:pPr>
        <w:ind w:firstLine="1985"/>
        <w:jc w:val="both"/>
        <w:rPr>
          <w:sz w:val="24"/>
          <w:szCs w:val="24"/>
        </w:rPr>
      </w:pPr>
    </w:p>
    <w:p w:rsidR="00F40FF8" w:rsidRPr="00B61EF5" w:rsidRDefault="00F40FF8" w:rsidP="00F40FF8">
      <w:pPr>
        <w:ind w:firstLine="709"/>
        <w:jc w:val="both"/>
        <w:rPr>
          <w:sz w:val="24"/>
          <w:szCs w:val="24"/>
        </w:rPr>
      </w:pPr>
      <w:r w:rsidRPr="00B61EF5">
        <w:rPr>
          <w:sz w:val="24"/>
          <w:szCs w:val="24"/>
        </w:rPr>
        <w:t xml:space="preserve">Gabinete do Prefeito Municipal de </w:t>
      </w:r>
      <w:proofErr w:type="spellStart"/>
      <w:r w:rsidRPr="00B61EF5">
        <w:rPr>
          <w:sz w:val="24"/>
          <w:szCs w:val="24"/>
        </w:rPr>
        <w:t>Deodápolis</w:t>
      </w:r>
      <w:proofErr w:type="spellEnd"/>
      <w:r w:rsidRPr="00B61EF5">
        <w:rPr>
          <w:sz w:val="24"/>
          <w:szCs w:val="24"/>
        </w:rPr>
        <w:t xml:space="preserve">, Estado de Mato Grosso do Sul, em </w:t>
      </w:r>
      <w:r>
        <w:rPr>
          <w:sz w:val="24"/>
          <w:szCs w:val="24"/>
        </w:rPr>
        <w:t>13</w:t>
      </w:r>
      <w:r w:rsidRPr="00B61EF5">
        <w:rPr>
          <w:sz w:val="24"/>
          <w:szCs w:val="24"/>
        </w:rPr>
        <w:t xml:space="preserve"> de Janeiro de 2017.</w:t>
      </w:r>
    </w:p>
    <w:p w:rsidR="00F40FF8" w:rsidRDefault="00F40FF8" w:rsidP="00F40FF8">
      <w:pPr>
        <w:ind w:firstLine="709"/>
        <w:jc w:val="both"/>
        <w:rPr>
          <w:b/>
          <w:sz w:val="24"/>
          <w:szCs w:val="24"/>
        </w:rPr>
      </w:pPr>
    </w:p>
    <w:p w:rsidR="00F40FF8" w:rsidRDefault="00F40FF8" w:rsidP="00F40FF8">
      <w:pPr>
        <w:ind w:firstLine="709"/>
        <w:jc w:val="both"/>
        <w:rPr>
          <w:b/>
          <w:sz w:val="24"/>
          <w:szCs w:val="24"/>
        </w:rPr>
      </w:pPr>
    </w:p>
    <w:p w:rsidR="00F40FF8" w:rsidRPr="00B61EF5" w:rsidRDefault="00F40FF8" w:rsidP="00F40FF8">
      <w:pPr>
        <w:ind w:firstLine="709"/>
        <w:jc w:val="both"/>
        <w:rPr>
          <w:b/>
          <w:sz w:val="24"/>
          <w:szCs w:val="24"/>
        </w:rPr>
      </w:pPr>
    </w:p>
    <w:p w:rsidR="00F40FF8" w:rsidRPr="00B61EF5" w:rsidRDefault="00F40FF8" w:rsidP="00F40FF8">
      <w:pPr>
        <w:ind w:left="2832"/>
        <w:jc w:val="both"/>
        <w:rPr>
          <w:b/>
          <w:sz w:val="24"/>
          <w:szCs w:val="24"/>
        </w:rPr>
      </w:pPr>
      <w:r w:rsidRPr="00B61EF5">
        <w:rPr>
          <w:b/>
          <w:sz w:val="24"/>
          <w:szCs w:val="24"/>
        </w:rPr>
        <w:t xml:space="preserve">Valdir Luiz </w:t>
      </w:r>
      <w:proofErr w:type="spellStart"/>
      <w:r w:rsidRPr="00B61EF5">
        <w:rPr>
          <w:b/>
          <w:sz w:val="24"/>
          <w:szCs w:val="24"/>
        </w:rPr>
        <w:t>Sartor</w:t>
      </w:r>
      <w:proofErr w:type="spellEnd"/>
    </w:p>
    <w:p w:rsidR="00F40FF8" w:rsidRDefault="00F40FF8" w:rsidP="00F40FF8">
      <w:pPr>
        <w:ind w:left="2124" w:firstLine="708"/>
        <w:jc w:val="both"/>
        <w:rPr>
          <w:b/>
          <w:sz w:val="24"/>
          <w:szCs w:val="24"/>
        </w:rPr>
        <w:sectPr w:rsidR="00F40FF8" w:rsidSect="00F40F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spellStart"/>
      <w:proofErr w:type="gramStart"/>
      <w:r w:rsidRPr="00B61EF5">
        <w:rPr>
          <w:b/>
          <w:sz w:val="24"/>
          <w:szCs w:val="24"/>
        </w:rPr>
        <w:t>PrefeitoMunicipal</w:t>
      </w:r>
      <w:proofErr w:type="spellEnd"/>
      <w:proofErr w:type="gramEnd"/>
    </w:p>
    <w:p w:rsidR="00F40FF8" w:rsidRPr="00B61EF5" w:rsidRDefault="00F40FF8" w:rsidP="00F40FF8">
      <w:pPr>
        <w:jc w:val="both"/>
        <w:rPr>
          <w:sz w:val="24"/>
          <w:szCs w:val="24"/>
        </w:rPr>
      </w:pPr>
    </w:p>
    <w:p w:rsidR="00F40FF8" w:rsidRDefault="00F40FF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0FF8" w:rsidRPr="00F40FF8" w:rsidRDefault="00F40FF8" w:rsidP="00CA39AD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40FF8" w:rsidRPr="000A4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</w:t>
      </w:r>
    </w:p>
    <w:p w:rsidR="00F40FF8" w:rsidRPr="000A4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               CRONOGRAMA DE EXECUÇÃO MENSAL DEDESEMBOLSO</w:t>
      </w:r>
    </w:p>
    <w:p w:rsidR="00F40FF8" w:rsidRPr="000A4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2017</w:t>
      </w:r>
    </w:p>
    <w:p w:rsidR="00F40FF8" w:rsidRPr="000A4FF8" w:rsidRDefault="00F40FF8" w:rsidP="00CA39AD">
      <w:pPr>
        <w:ind w:left="-426"/>
        <w:rPr>
          <w:rFonts w:ascii="Book Antiqua" w:hAnsi="Book Antiqua" w:cs="Arial"/>
          <w:sz w:val="12"/>
          <w:szCs w:val="12"/>
        </w:rPr>
      </w:pPr>
    </w:p>
    <w:p w:rsidR="00F40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  <w:r w:rsidRPr="007219D5">
        <w:rPr>
          <w:noProof/>
        </w:rPr>
        <w:drawing>
          <wp:inline distT="0" distB="0" distL="0" distR="0">
            <wp:extent cx="9677400" cy="2800350"/>
            <wp:effectExtent l="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20" cy="28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</w:p>
    <w:p w:rsidR="00F40FF8" w:rsidRDefault="00F40FF8" w:rsidP="00CA39AD">
      <w:pPr>
        <w:ind w:left="-426"/>
        <w:rPr>
          <w:rFonts w:ascii="Book Antiqua" w:hAnsi="Book Antiqua" w:cs="Arial"/>
          <w:sz w:val="16"/>
          <w:szCs w:val="16"/>
        </w:rPr>
      </w:pPr>
    </w:p>
    <w:p w:rsidR="00CA39AD" w:rsidRDefault="00CA39AD" w:rsidP="00CA39AD">
      <w:pPr>
        <w:ind w:left="-426"/>
        <w:rPr>
          <w:rFonts w:ascii="Book Antiqua" w:hAnsi="Book Antiqua" w:cs="Arial"/>
          <w:sz w:val="16"/>
          <w:szCs w:val="16"/>
        </w:rPr>
      </w:pPr>
    </w:p>
    <w:p w:rsidR="00CA39AD" w:rsidRDefault="00CA39AD" w:rsidP="00CA39AD">
      <w:pPr>
        <w:ind w:left="-426"/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II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</w:t>
      </w:r>
      <w:r w:rsidRPr="000A4FF8">
        <w:rPr>
          <w:rFonts w:ascii="Book Antiqua" w:hAnsi="Book Antiqua" w:cs="Arial"/>
          <w:sz w:val="16"/>
          <w:szCs w:val="16"/>
        </w:rPr>
        <w:t xml:space="preserve"> METAS BIMESTRAIS DE DESPESA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2017</w:t>
      </w:r>
    </w:p>
    <w:p w:rsidR="00F40FF8" w:rsidRDefault="00F40FF8" w:rsidP="00F40FF8"/>
    <w:p w:rsidR="00F40FF8" w:rsidRDefault="00F40FF8" w:rsidP="00F40FF8">
      <w:r w:rsidRPr="007219D5">
        <w:rPr>
          <w:noProof/>
        </w:rPr>
        <w:drawing>
          <wp:inline distT="0" distB="0" distL="0" distR="0">
            <wp:extent cx="7362825" cy="2620104"/>
            <wp:effectExtent l="0" t="0" r="0" b="8890"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148" cy="26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CA39AD" w:rsidRDefault="00CA39AD" w:rsidP="00F40FF8">
      <w:pPr>
        <w:rPr>
          <w:rFonts w:ascii="Book Antiqua" w:hAnsi="Book Antiqua" w:cs="Arial"/>
          <w:sz w:val="16"/>
          <w:szCs w:val="16"/>
        </w:rPr>
      </w:pP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lastRenderedPageBreak/>
        <w:t>ANEXO II</w:t>
      </w:r>
      <w:r>
        <w:rPr>
          <w:rFonts w:ascii="Book Antiqua" w:hAnsi="Book Antiqua" w:cs="Arial"/>
          <w:sz w:val="16"/>
          <w:szCs w:val="16"/>
        </w:rPr>
        <w:t>I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                 PROGRAMAÇÃO FINANCEIRA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2017</w:t>
      </w:r>
    </w:p>
    <w:p w:rsidR="00F40FF8" w:rsidRDefault="00F40FF8" w:rsidP="00F40FF8">
      <w:pPr>
        <w:rPr>
          <w:rFonts w:ascii="Book Antiqua" w:hAnsi="Book Antiqua"/>
          <w:sz w:val="24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  <w:r w:rsidRPr="007219D5">
        <w:rPr>
          <w:noProof/>
        </w:rPr>
        <w:drawing>
          <wp:inline distT="0" distB="0" distL="0" distR="0">
            <wp:extent cx="9515475" cy="2038697"/>
            <wp:effectExtent l="0" t="0" r="0" b="0"/>
            <wp:docPr id="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079" cy="20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8" w:rsidRDefault="00F40FF8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CA39AD" w:rsidRDefault="00CA39AD" w:rsidP="00F40FF8">
      <w:pPr>
        <w:rPr>
          <w:rFonts w:ascii="Book Antiqua" w:hAnsi="Book Antiqua"/>
          <w:sz w:val="24"/>
        </w:rPr>
      </w:pPr>
    </w:p>
    <w:p w:rsidR="00F40FF8" w:rsidRPr="00F25615" w:rsidRDefault="00F40FF8" w:rsidP="00F40FF8">
      <w:pPr>
        <w:rPr>
          <w:rFonts w:ascii="Book Antiqua" w:hAnsi="Book Antiqua"/>
          <w:sz w:val="10"/>
          <w:szCs w:val="10"/>
        </w:rPr>
      </w:pP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>ANEXO I</w:t>
      </w:r>
      <w:r>
        <w:rPr>
          <w:rFonts w:ascii="Book Antiqua" w:hAnsi="Book Antiqua" w:cs="Arial"/>
          <w:sz w:val="16"/>
          <w:szCs w:val="16"/>
        </w:rPr>
        <w:t>V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PREFEITURA MUNICIPAL DE </w:t>
      </w:r>
      <w:r>
        <w:rPr>
          <w:rFonts w:ascii="Book Antiqua" w:hAnsi="Book Antiqua" w:cs="Arial"/>
          <w:sz w:val="16"/>
          <w:szCs w:val="16"/>
        </w:rPr>
        <w:t>DEODÁPOLIS                 METAS BIMESTRAIS DE ARRECADAÇÃO</w:t>
      </w:r>
    </w:p>
    <w:p w:rsidR="00F40FF8" w:rsidRPr="000A4FF8" w:rsidRDefault="00F40FF8" w:rsidP="00F40FF8">
      <w:pPr>
        <w:rPr>
          <w:rFonts w:ascii="Book Antiqua" w:hAnsi="Book Antiqua" w:cs="Arial"/>
          <w:sz w:val="16"/>
          <w:szCs w:val="16"/>
        </w:rPr>
      </w:pPr>
      <w:r w:rsidRPr="000A4FF8">
        <w:rPr>
          <w:rFonts w:ascii="Book Antiqua" w:hAnsi="Book Antiqua" w:cs="Arial"/>
          <w:sz w:val="16"/>
          <w:szCs w:val="16"/>
        </w:rPr>
        <w:t xml:space="preserve">ESTADO DE MATO GROSSO DO SUL                                                                                                                                                                                                                                                    EXERCÍCIO </w:t>
      </w:r>
      <w:r>
        <w:rPr>
          <w:rFonts w:ascii="Book Antiqua" w:hAnsi="Book Antiqua" w:cs="Arial"/>
          <w:sz w:val="16"/>
          <w:szCs w:val="16"/>
        </w:rPr>
        <w:t>2017</w:t>
      </w:r>
    </w:p>
    <w:p w:rsidR="00F40FF8" w:rsidRDefault="00F40FF8" w:rsidP="00F40FF8">
      <w:pPr>
        <w:rPr>
          <w:rFonts w:ascii="Book Antiqua" w:hAnsi="Book Antiqua"/>
          <w:sz w:val="24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  <w:r w:rsidRPr="007219D5">
        <w:rPr>
          <w:noProof/>
        </w:rPr>
        <w:drawing>
          <wp:inline distT="0" distB="0" distL="0" distR="0">
            <wp:extent cx="6800850" cy="1842917"/>
            <wp:effectExtent l="0" t="0" r="0" b="508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73" cy="18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8" w:rsidRDefault="00F40FF8" w:rsidP="00F40FF8">
      <w:pPr>
        <w:rPr>
          <w:rFonts w:ascii="Arial" w:hAnsi="Arial" w:cs="Arial"/>
          <w:sz w:val="16"/>
          <w:szCs w:val="16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</w:p>
    <w:p w:rsidR="00F40FF8" w:rsidRDefault="00F40FF8" w:rsidP="00F40FF8">
      <w:pPr>
        <w:rPr>
          <w:rFonts w:ascii="Book Antiqua" w:hAnsi="Book Antiqua"/>
          <w:sz w:val="24"/>
        </w:rPr>
      </w:pPr>
      <w:bookmarkStart w:id="0" w:name="_GoBack"/>
      <w:bookmarkEnd w:id="0"/>
    </w:p>
    <w:p w:rsidR="00F40FF8" w:rsidRDefault="00F40FF8" w:rsidP="00F40FF8">
      <w:pPr>
        <w:rPr>
          <w:rFonts w:ascii="Book Antiqua" w:hAnsi="Book Antiqua"/>
          <w:sz w:val="24"/>
        </w:rPr>
      </w:pPr>
    </w:p>
    <w:tbl>
      <w:tblPr>
        <w:tblW w:w="140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1420"/>
        <w:gridCol w:w="1120"/>
        <w:gridCol w:w="3077"/>
        <w:gridCol w:w="1120"/>
        <w:gridCol w:w="1120"/>
        <w:gridCol w:w="1207"/>
        <w:gridCol w:w="1207"/>
        <w:gridCol w:w="1207"/>
      </w:tblGrid>
      <w:tr w:rsidR="00F40FF8" w:rsidRPr="003D5E20" w:rsidTr="00DD0194">
        <w:trPr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CA39AD" w:rsidP="00CA3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Valdir Luiz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Sartor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CA39AD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Juliani Garcia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Berloffa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Andrade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CA39AD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Emerson Dantas de Oliveira</w:t>
            </w:r>
          </w:p>
        </w:tc>
      </w:tr>
      <w:tr w:rsidR="00F40FF8" w:rsidRPr="003D5E20" w:rsidTr="00DD0194">
        <w:trPr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E20">
              <w:rPr>
                <w:rFonts w:ascii="Arial" w:hAnsi="Arial" w:cs="Arial"/>
                <w:sz w:val="16"/>
                <w:szCs w:val="16"/>
              </w:rPr>
              <w:t>Prefeit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3D5E20">
              <w:rPr>
                <w:rFonts w:ascii="Arial" w:hAnsi="Arial" w:cs="Arial"/>
                <w:sz w:val="16"/>
                <w:szCs w:val="16"/>
              </w:rPr>
              <w:t xml:space="preserve"> Municipal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E20">
              <w:rPr>
                <w:rFonts w:ascii="Arial" w:hAnsi="Arial" w:cs="Arial"/>
                <w:sz w:val="16"/>
                <w:szCs w:val="16"/>
              </w:rPr>
              <w:t>Sec. Mun. De</w:t>
            </w:r>
            <w:r>
              <w:rPr>
                <w:rFonts w:ascii="Arial" w:hAnsi="Arial" w:cs="Arial"/>
                <w:sz w:val="16"/>
                <w:szCs w:val="16"/>
              </w:rPr>
              <w:t xml:space="preserve"> Planejamento, </w:t>
            </w:r>
            <w:r w:rsidRPr="003D5E20">
              <w:rPr>
                <w:rFonts w:ascii="Arial" w:hAnsi="Arial" w:cs="Arial"/>
                <w:sz w:val="16"/>
                <w:szCs w:val="16"/>
              </w:rPr>
              <w:t>Administração e Finanças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CA3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Contador</w:t>
            </w:r>
            <w:r w:rsidRPr="003D5E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FF8" w:rsidRPr="003D5E20" w:rsidTr="00DD0194">
        <w:trPr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F8" w:rsidRPr="003D5E20" w:rsidRDefault="00F40FF8" w:rsidP="00DD01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FF8" w:rsidRPr="000A4FF8" w:rsidRDefault="00F40FF8" w:rsidP="00F40FF8">
      <w:pPr>
        <w:rPr>
          <w:rFonts w:ascii="Book Antiqua" w:hAnsi="Book Antiqua"/>
          <w:sz w:val="24"/>
        </w:rPr>
      </w:pPr>
    </w:p>
    <w:p w:rsidR="00483A8E" w:rsidRPr="00F40FF8" w:rsidRDefault="00483A8E">
      <w:pPr>
        <w:rPr>
          <w:sz w:val="24"/>
          <w:szCs w:val="24"/>
        </w:rPr>
      </w:pPr>
    </w:p>
    <w:sectPr w:rsidR="00483A8E" w:rsidRPr="00F40FF8" w:rsidSect="00F40F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D834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834D5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 style="mso-next-textbox:#_x0000_s1026">
            <w:txbxContent>
              <w:p w:rsidR="00D96B40" w:rsidRPr="00D96B40" w:rsidRDefault="00D834D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Francisco Alves da </w:t>
                </w:r>
                <w:r w:rsidRPr="00D96B40">
                  <w:rPr>
                    <w:b/>
                    <w:sz w:val="26"/>
                    <w:szCs w:val="26"/>
                  </w:rPr>
                  <w:t>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834D5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D834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834D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834D5">
    <w:pPr>
      <w:pStyle w:val="Cabealho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250EFB" w:rsidRDefault="00D834D5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>Luiz</w:t>
                </w:r>
                <w:r>
                  <w:rPr>
                    <w:b/>
                  </w:rPr>
                  <w:t xml:space="preserve">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D834D5">
    <w:pPr>
      <w:pStyle w:val="Cabealho"/>
    </w:pPr>
  </w:p>
  <w:p w:rsidR="00250EFB" w:rsidRPr="006877A3" w:rsidRDefault="00D834D5">
    <w:pPr>
      <w:pStyle w:val="Cabealho"/>
    </w:pPr>
  </w:p>
  <w:p w:rsidR="00250EFB" w:rsidRPr="006877A3" w:rsidRDefault="00D834D5">
    <w:pPr>
      <w:pStyle w:val="Cabealho"/>
    </w:pPr>
  </w:p>
  <w:p w:rsidR="00250EFB" w:rsidRPr="006877A3" w:rsidRDefault="00D834D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834D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AC6"/>
    <w:multiLevelType w:val="singleLevel"/>
    <w:tmpl w:val="68561528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40FF8"/>
    <w:rsid w:val="00483A8E"/>
    <w:rsid w:val="009900B3"/>
    <w:rsid w:val="00CA39AD"/>
    <w:rsid w:val="00D834D5"/>
    <w:rsid w:val="00F4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FF8"/>
    <w:pPr>
      <w:keepNext/>
      <w:jc w:val="center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F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FF8"/>
  </w:style>
  <w:style w:type="paragraph" w:styleId="Rodap">
    <w:name w:val="footer"/>
    <w:basedOn w:val="Normal"/>
    <w:link w:val="RodapChar"/>
    <w:uiPriority w:val="99"/>
    <w:unhideWhenUsed/>
    <w:rsid w:val="00F40F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FF8"/>
  </w:style>
  <w:style w:type="character" w:styleId="Hyperlink">
    <w:name w:val="Hyperlink"/>
    <w:basedOn w:val="Fontepargpadro"/>
    <w:uiPriority w:val="99"/>
    <w:unhideWhenUsed/>
    <w:rsid w:val="00F40FF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F40FF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40FF8"/>
    <w:pPr>
      <w:ind w:left="425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0FF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F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F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7EAB-90D9-40F9-B955-BB0B13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cp:lastPrinted>2017-01-13T19:40:00Z</cp:lastPrinted>
  <dcterms:created xsi:type="dcterms:W3CDTF">2017-01-13T19:21:00Z</dcterms:created>
  <dcterms:modified xsi:type="dcterms:W3CDTF">2017-01-13T19:42:00Z</dcterms:modified>
</cp:coreProperties>
</file>