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5F" w:rsidRPr="00436A5F" w:rsidRDefault="000654B4" w:rsidP="000654B4">
      <w:pPr>
        <w:spacing w:after="0" w:line="240" w:lineRule="auto"/>
        <w:jc w:val="center"/>
        <w:rPr>
          <w:rFonts w:ascii="Times New Roman" w:hAnsi="Times New Roman"/>
          <w:b/>
          <w:sz w:val="24"/>
          <w:szCs w:val="24"/>
          <w:u w:val="single"/>
        </w:rPr>
      </w:pPr>
      <w:r>
        <w:rPr>
          <w:rFonts w:ascii="Times New Roman" w:hAnsi="Times New Roman"/>
          <w:b/>
          <w:sz w:val="24"/>
          <w:szCs w:val="24"/>
          <w:u w:val="single"/>
        </w:rPr>
        <w:t>DECRETO Nº024/2017 DE 13</w:t>
      </w:r>
      <w:r w:rsidR="00436A5F" w:rsidRPr="00436A5F">
        <w:rPr>
          <w:rFonts w:ascii="Times New Roman" w:hAnsi="Times New Roman"/>
          <w:b/>
          <w:sz w:val="24"/>
          <w:szCs w:val="24"/>
          <w:u w:val="single"/>
        </w:rPr>
        <w:t xml:space="preserve"> MARÇO DE 2017.</w:t>
      </w:r>
    </w:p>
    <w:p w:rsidR="00436A5F" w:rsidRPr="00436A5F" w:rsidRDefault="00436A5F" w:rsidP="000654B4">
      <w:pPr>
        <w:spacing w:after="0" w:line="240" w:lineRule="auto"/>
        <w:jc w:val="center"/>
        <w:rPr>
          <w:rFonts w:ascii="Times New Roman" w:hAnsi="Times New Roman"/>
          <w:b/>
          <w:sz w:val="24"/>
          <w:szCs w:val="24"/>
          <w:u w:val="single"/>
        </w:rPr>
      </w:pPr>
    </w:p>
    <w:p w:rsidR="00436A5F" w:rsidRPr="00436A5F" w:rsidRDefault="00436A5F" w:rsidP="000654B4">
      <w:pPr>
        <w:pStyle w:val="Cabealho"/>
        <w:ind w:left="3600"/>
        <w:jc w:val="both"/>
        <w:rPr>
          <w:rFonts w:ascii="Times New Roman" w:hAnsi="Times New Roman" w:cs="Times New Roman"/>
          <w:b/>
          <w:sz w:val="24"/>
          <w:szCs w:val="24"/>
        </w:rPr>
      </w:pPr>
      <w:r w:rsidRPr="00436A5F">
        <w:rPr>
          <w:rFonts w:ascii="Times New Roman" w:hAnsi="Times New Roman" w:cs="Times New Roman"/>
          <w:b/>
          <w:bCs/>
          <w:sz w:val="24"/>
          <w:szCs w:val="24"/>
        </w:rPr>
        <w:t xml:space="preserve">Dispõe sobre a substituição do Conselho Gestor do Fundo Municipal de Habitação </w:t>
      </w:r>
      <w:r w:rsidRPr="00436A5F">
        <w:rPr>
          <w:rFonts w:ascii="Times New Roman" w:hAnsi="Times New Roman" w:cs="Times New Roman"/>
          <w:b/>
          <w:sz w:val="24"/>
          <w:szCs w:val="24"/>
        </w:rPr>
        <w:t>de Interesse Social- PMHIS”de Deodápolis</w:t>
      </w:r>
      <w:r w:rsidRPr="00436A5F">
        <w:rPr>
          <w:rFonts w:ascii="Times New Roman" w:hAnsi="Times New Roman" w:cs="Times New Roman"/>
          <w:b/>
          <w:bCs/>
          <w:sz w:val="24"/>
          <w:szCs w:val="24"/>
        </w:rPr>
        <w:t xml:space="preserve"> e dá outras providências</w:t>
      </w:r>
      <w:r w:rsidRPr="00436A5F">
        <w:rPr>
          <w:rFonts w:ascii="Times New Roman" w:hAnsi="Times New Roman" w:cs="Times New Roman"/>
          <w:b/>
          <w:sz w:val="24"/>
          <w:szCs w:val="24"/>
        </w:rPr>
        <w:t>.</w:t>
      </w:r>
    </w:p>
    <w:p w:rsidR="00436A5F" w:rsidRPr="00436A5F" w:rsidRDefault="00436A5F" w:rsidP="000654B4">
      <w:pPr>
        <w:pStyle w:val="Cabealho"/>
        <w:ind w:left="3240"/>
        <w:jc w:val="both"/>
        <w:rPr>
          <w:rFonts w:ascii="Times New Roman" w:hAnsi="Times New Roman" w:cs="Times New Roman"/>
          <w:b/>
          <w:sz w:val="24"/>
          <w:szCs w:val="24"/>
        </w:rPr>
      </w:pPr>
    </w:p>
    <w:p w:rsidR="00436A5F" w:rsidRPr="00436A5F" w:rsidRDefault="00436A5F" w:rsidP="000654B4">
      <w:pPr>
        <w:pStyle w:val="Cabealho"/>
        <w:ind w:left="3240"/>
        <w:jc w:val="both"/>
        <w:rPr>
          <w:rFonts w:ascii="Times New Roman" w:hAnsi="Times New Roman" w:cs="Times New Roman"/>
          <w:b/>
          <w:sz w:val="24"/>
          <w:szCs w:val="24"/>
        </w:rPr>
      </w:pPr>
    </w:p>
    <w:p w:rsidR="00436A5F" w:rsidRPr="00436A5F" w:rsidRDefault="00436A5F" w:rsidP="000654B4">
      <w:pPr>
        <w:pStyle w:val="Cabealho"/>
        <w:tabs>
          <w:tab w:val="left" w:pos="3600"/>
        </w:tabs>
        <w:ind w:firstLine="3240"/>
        <w:jc w:val="both"/>
        <w:rPr>
          <w:rFonts w:ascii="Times New Roman" w:hAnsi="Times New Roman" w:cs="Times New Roman"/>
          <w:sz w:val="24"/>
          <w:szCs w:val="24"/>
        </w:rPr>
      </w:pPr>
      <w:r w:rsidRPr="00436A5F">
        <w:rPr>
          <w:rFonts w:ascii="Times New Roman" w:hAnsi="Times New Roman" w:cs="Times New Roman"/>
          <w:b/>
          <w:sz w:val="24"/>
          <w:szCs w:val="24"/>
        </w:rPr>
        <w:t xml:space="preserve">A Sr VALDIR LUIZ SARTOR, </w:t>
      </w:r>
      <w:r w:rsidRPr="00436A5F">
        <w:rPr>
          <w:rFonts w:ascii="Times New Roman" w:hAnsi="Times New Roman" w:cs="Times New Roman"/>
          <w:sz w:val="24"/>
          <w:szCs w:val="24"/>
        </w:rPr>
        <w:t xml:space="preserve">prefeito Municipal de Deodápolis, Estado de Mato Grosso do Sul, no uso de suas atribuições legais, de acordo com as disposições contidas na Lei Municipal nº 537 de 03 de setembro de 2009, </w:t>
      </w:r>
    </w:p>
    <w:p w:rsidR="00436A5F" w:rsidRPr="00436A5F" w:rsidRDefault="00436A5F" w:rsidP="000654B4">
      <w:pPr>
        <w:pStyle w:val="Cabealho"/>
        <w:tabs>
          <w:tab w:val="left" w:pos="3600"/>
        </w:tabs>
        <w:jc w:val="both"/>
        <w:rPr>
          <w:rFonts w:ascii="Times New Roman" w:hAnsi="Times New Roman" w:cs="Times New Roman"/>
          <w:sz w:val="24"/>
          <w:szCs w:val="24"/>
        </w:rPr>
      </w:pPr>
    </w:p>
    <w:p w:rsidR="00436A5F" w:rsidRPr="00436A5F" w:rsidRDefault="00436A5F" w:rsidP="000654B4">
      <w:pPr>
        <w:pStyle w:val="Cabealho"/>
        <w:tabs>
          <w:tab w:val="left" w:pos="3600"/>
        </w:tabs>
        <w:jc w:val="both"/>
        <w:rPr>
          <w:rFonts w:ascii="Times New Roman" w:hAnsi="Times New Roman" w:cs="Times New Roman"/>
          <w:sz w:val="24"/>
          <w:szCs w:val="24"/>
        </w:rPr>
      </w:pPr>
    </w:p>
    <w:p w:rsidR="00436A5F" w:rsidRPr="00436A5F" w:rsidRDefault="00436A5F" w:rsidP="000654B4">
      <w:pPr>
        <w:pStyle w:val="Cabealho"/>
        <w:tabs>
          <w:tab w:val="left" w:pos="3600"/>
        </w:tabs>
        <w:jc w:val="center"/>
        <w:rPr>
          <w:rFonts w:ascii="Times New Roman" w:hAnsi="Times New Roman" w:cs="Times New Roman"/>
          <w:b/>
          <w:sz w:val="24"/>
          <w:szCs w:val="24"/>
          <w:u w:val="single"/>
        </w:rPr>
      </w:pPr>
      <w:r w:rsidRPr="00436A5F">
        <w:rPr>
          <w:rFonts w:ascii="Times New Roman" w:hAnsi="Times New Roman" w:cs="Times New Roman"/>
          <w:b/>
          <w:sz w:val="24"/>
          <w:szCs w:val="24"/>
          <w:u w:val="single"/>
        </w:rPr>
        <w:t>DECRETA:</w:t>
      </w:r>
    </w:p>
    <w:p w:rsidR="00436A5F" w:rsidRPr="00436A5F" w:rsidRDefault="00436A5F" w:rsidP="000654B4">
      <w:pPr>
        <w:pStyle w:val="Cabealho"/>
        <w:tabs>
          <w:tab w:val="left" w:pos="3600"/>
        </w:tabs>
        <w:jc w:val="both"/>
        <w:rPr>
          <w:rFonts w:ascii="Times New Roman" w:hAnsi="Times New Roman" w:cs="Times New Roman"/>
          <w:b/>
          <w:sz w:val="24"/>
          <w:szCs w:val="24"/>
          <w:u w:val="single"/>
        </w:rPr>
      </w:pPr>
    </w:p>
    <w:p w:rsidR="00436A5F" w:rsidRPr="00436A5F" w:rsidRDefault="00436A5F" w:rsidP="000654B4">
      <w:pPr>
        <w:pStyle w:val="Cabealho"/>
        <w:jc w:val="both"/>
        <w:rPr>
          <w:rFonts w:ascii="Times New Roman" w:hAnsi="Times New Roman" w:cs="Times New Roman"/>
          <w:sz w:val="24"/>
          <w:szCs w:val="24"/>
        </w:rPr>
      </w:pPr>
      <w:r w:rsidRPr="00436A5F">
        <w:rPr>
          <w:rFonts w:ascii="Times New Roman" w:hAnsi="Times New Roman" w:cs="Times New Roman"/>
          <w:b/>
          <w:sz w:val="24"/>
          <w:szCs w:val="24"/>
        </w:rPr>
        <w:t xml:space="preserve">ARTIGO 1º - </w:t>
      </w:r>
      <w:r w:rsidRPr="00436A5F">
        <w:rPr>
          <w:rFonts w:ascii="Times New Roman" w:hAnsi="Times New Roman" w:cs="Times New Roman"/>
          <w:sz w:val="24"/>
          <w:szCs w:val="24"/>
        </w:rPr>
        <w:t>Ficam nomeados os seguintes membros para comporem o Conselho Gestor do Fundo de Habitação de Interesse Social- PMHIS:</w:t>
      </w:r>
    </w:p>
    <w:p w:rsidR="00436A5F" w:rsidRPr="00436A5F" w:rsidRDefault="00436A5F" w:rsidP="000654B4">
      <w:pPr>
        <w:pStyle w:val="Cabealho"/>
        <w:tabs>
          <w:tab w:val="left" w:pos="3600"/>
        </w:tabs>
        <w:ind w:left="1620" w:hanging="1620"/>
        <w:jc w:val="both"/>
        <w:rPr>
          <w:rFonts w:ascii="Times New Roman" w:hAnsi="Times New Roman" w:cs="Times New Roman"/>
          <w:sz w:val="24"/>
          <w:szCs w:val="24"/>
        </w:rPr>
      </w:pPr>
    </w:p>
    <w:tbl>
      <w:tblPr>
        <w:tblStyle w:val="Tabelacomgrade"/>
        <w:tblW w:w="9498" w:type="dxa"/>
        <w:tblInd w:w="-176" w:type="dxa"/>
        <w:tblLook w:val="04A0"/>
      </w:tblPr>
      <w:tblGrid>
        <w:gridCol w:w="4318"/>
        <w:gridCol w:w="2159"/>
        <w:gridCol w:w="3021"/>
      </w:tblGrid>
      <w:tr w:rsidR="00436A5F" w:rsidRPr="00436A5F" w:rsidTr="00436A5F">
        <w:tc>
          <w:tcPr>
            <w:tcW w:w="4318" w:type="dxa"/>
          </w:tcPr>
          <w:p w:rsidR="00436A5F" w:rsidRPr="00436A5F" w:rsidRDefault="00436A5F" w:rsidP="000654B4">
            <w:pPr>
              <w:pStyle w:val="Cabealho"/>
              <w:tabs>
                <w:tab w:val="left" w:pos="3600"/>
              </w:tabs>
              <w:jc w:val="both"/>
              <w:rPr>
                <w:rFonts w:ascii="Times New Roman" w:hAnsi="Times New Roman"/>
                <w:sz w:val="24"/>
                <w:szCs w:val="24"/>
              </w:rPr>
            </w:pPr>
            <w:r w:rsidRPr="00436A5F">
              <w:rPr>
                <w:rFonts w:ascii="Times New Roman" w:hAnsi="Times New Roman"/>
                <w:b/>
                <w:sz w:val="24"/>
                <w:szCs w:val="24"/>
              </w:rPr>
              <w:t>Entidade do Governo Municipal</w:t>
            </w:r>
          </w:p>
        </w:tc>
        <w:tc>
          <w:tcPr>
            <w:tcW w:w="2159"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Titular</w:t>
            </w:r>
          </w:p>
        </w:tc>
        <w:tc>
          <w:tcPr>
            <w:tcW w:w="3021"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Suplente</w:t>
            </w:r>
          </w:p>
        </w:tc>
      </w:tr>
      <w:tr w:rsidR="00436A5F" w:rsidRPr="00436A5F" w:rsidTr="00436A5F">
        <w:tc>
          <w:tcPr>
            <w:tcW w:w="4318" w:type="dxa"/>
          </w:tcPr>
          <w:p w:rsidR="00436A5F" w:rsidRPr="00436A5F" w:rsidRDefault="00436A5F" w:rsidP="000654B4">
            <w:pPr>
              <w:pStyle w:val="Cabealho"/>
              <w:tabs>
                <w:tab w:val="left" w:pos="3600"/>
              </w:tabs>
              <w:jc w:val="both"/>
              <w:rPr>
                <w:rFonts w:ascii="Times New Roman" w:hAnsi="Times New Roman"/>
                <w:sz w:val="24"/>
                <w:szCs w:val="24"/>
              </w:rPr>
            </w:pPr>
          </w:p>
          <w:p w:rsidR="00436A5F" w:rsidRPr="00436A5F" w:rsidRDefault="00436A5F" w:rsidP="000654B4">
            <w:pPr>
              <w:pStyle w:val="Cabealho"/>
              <w:tabs>
                <w:tab w:val="left" w:pos="3600"/>
              </w:tabs>
              <w:jc w:val="both"/>
              <w:rPr>
                <w:rFonts w:ascii="Times New Roman" w:hAnsi="Times New Roman"/>
                <w:sz w:val="24"/>
                <w:szCs w:val="24"/>
              </w:rPr>
            </w:pPr>
            <w:r w:rsidRPr="00436A5F">
              <w:rPr>
                <w:rFonts w:ascii="Times New Roman" w:hAnsi="Times New Roman"/>
                <w:sz w:val="24"/>
                <w:szCs w:val="24"/>
              </w:rPr>
              <w:t>Secretaria Municipal da Assistência Social, Habitação e Cidadania</w:t>
            </w:r>
          </w:p>
        </w:tc>
        <w:tc>
          <w:tcPr>
            <w:tcW w:w="2159" w:type="dxa"/>
          </w:tcPr>
          <w:p w:rsidR="00436A5F" w:rsidRPr="00436A5F" w:rsidRDefault="00436A5F" w:rsidP="000654B4">
            <w:pPr>
              <w:pStyle w:val="Cabealho"/>
              <w:tabs>
                <w:tab w:val="left" w:pos="3600"/>
              </w:tabs>
              <w:jc w:val="both"/>
              <w:rPr>
                <w:rFonts w:ascii="Times New Roman" w:hAnsi="Times New Roman"/>
                <w:b/>
                <w:sz w:val="24"/>
                <w:szCs w:val="24"/>
              </w:rPr>
            </w:pPr>
          </w:p>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Márcia Cristina da Silva</w:t>
            </w:r>
          </w:p>
        </w:tc>
        <w:tc>
          <w:tcPr>
            <w:tcW w:w="3021" w:type="dxa"/>
          </w:tcPr>
          <w:p w:rsidR="00436A5F" w:rsidRPr="00436A5F" w:rsidRDefault="00436A5F" w:rsidP="000654B4">
            <w:pPr>
              <w:pStyle w:val="Cabealho"/>
              <w:tabs>
                <w:tab w:val="left" w:pos="3600"/>
              </w:tabs>
              <w:jc w:val="both"/>
              <w:rPr>
                <w:rFonts w:ascii="Times New Roman" w:hAnsi="Times New Roman"/>
                <w:b/>
                <w:sz w:val="24"/>
                <w:szCs w:val="24"/>
              </w:rPr>
            </w:pPr>
          </w:p>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Vanderlei Dantas Rosa</w:t>
            </w:r>
          </w:p>
        </w:tc>
      </w:tr>
      <w:tr w:rsidR="00436A5F" w:rsidRPr="00436A5F" w:rsidTr="00436A5F">
        <w:tc>
          <w:tcPr>
            <w:tcW w:w="4318" w:type="dxa"/>
          </w:tcPr>
          <w:p w:rsidR="00436A5F" w:rsidRPr="00436A5F" w:rsidRDefault="00436A5F" w:rsidP="000654B4">
            <w:pPr>
              <w:pStyle w:val="Cabealho"/>
              <w:tabs>
                <w:tab w:val="left" w:pos="3600"/>
              </w:tabs>
              <w:jc w:val="both"/>
              <w:rPr>
                <w:rFonts w:ascii="Times New Roman" w:hAnsi="Times New Roman"/>
                <w:sz w:val="24"/>
                <w:szCs w:val="24"/>
              </w:rPr>
            </w:pPr>
            <w:r w:rsidRPr="00436A5F">
              <w:rPr>
                <w:rFonts w:ascii="Times New Roman" w:hAnsi="Times New Roman"/>
                <w:sz w:val="24"/>
                <w:szCs w:val="24"/>
              </w:rPr>
              <w:t>Secretária Municipal de Gestão Administrativo e Financeira</w:t>
            </w:r>
          </w:p>
        </w:tc>
        <w:tc>
          <w:tcPr>
            <w:tcW w:w="2159"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Juliani Garcia Berloffa Andrade</w:t>
            </w:r>
          </w:p>
        </w:tc>
        <w:tc>
          <w:tcPr>
            <w:tcW w:w="3021"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Maria Solange da Silva</w:t>
            </w:r>
          </w:p>
        </w:tc>
      </w:tr>
      <w:tr w:rsidR="00436A5F" w:rsidRPr="00436A5F" w:rsidTr="00436A5F">
        <w:tc>
          <w:tcPr>
            <w:tcW w:w="4318" w:type="dxa"/>
          </w:tcPr>
          <w:p w:rsidR="00436A5F" w:rsidRPr="00436A5F" w:rsidRDefault="00436A5F" w:rsidP="000654B4">
            <w:pPr>
              <w:autoSpaceDE w:val="0"/>
              <w:autoSpaceDN w:val="0"/>
              <w:adjustRightInd w:val="0"/>
              <w:rPr>
                <w:rFonts w:ascii="Times New Roman" w:eastAsiaTheme="minorHAnsi" w:hAnsi="Times New Roman"/>
                <w:bCs/>
                <w:sz w:val="24"/>
                <w:szCs w:val="24"/>
              </w:rPr>
            </w:pPr>
            <w:r w:rsidRPr="00436A5F">
              <w:rPr>
                <w:rFonts w:ascii="Times New Roman" w:eastAsiaTheme="minorHAnsi" w:hAnsi="Times New Roman"/>
                <w:bCs/>
                <w:sz w:val="24"/>
                <w:szCs w:val="24"/>
              </w:rPr>
              <w:t>Diretor de Departamento de Produção e Meio Ambiente</w:t>
            </w:r>
          </w:p>
          <w:p w:rsidR="00436A5F" w:rsidRPr="00436A5F" w:rsidRDefault="00436A5F" w:rsidP="000654B4">
            <w:pPr>
              <w:pStyle w:val="Cabealho"/>
              <w:tabs>
                <w:tab w:val="left" w:pos="3600"/>
              </w:tabs>
              <w:jc w:val="both"/>
              <w:rPr>
                <w:rFonts w:ascii="Times New Roman" w:hAnsi="Times New Roman"/>
                <w:sz w:val="24"/>
                <w:szCs w:val="24"/>
              </w:rPr>
            </w:pPr>
          </w:p>
        </w:tc>
        <w:tc>
          <w:tcPr>
            <w:tcW w:w="2159"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Aaron Rodrigo Mateiro Cirilo</w:t>
            </w:r>
          </w:p>
        </w:tc>
        <w:tc>
          <w:tcPr>
            <w:tcW w:w="3021"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Julia Berloffa Maldonado</w:t>
            </w:r>
          </w:p>
        </w:tc>
      </w:tr>
      <w:tr w:rsidR="00436A5F" w:rsidRPr="00436A5F" w:rsidTr="00436A5F">
        <w:tc>
          <w:tcPr>
            <w:tcW w:w="4318"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Entidade Movimentos Sociais e Populares</w:t>
            </w:r>
          </w:p>
        </w:tc>
        <w:tc>
          <w:tcPr>
            <w:tcW w:w="2159"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Titular</w:t>
            </w:r>
          </w:p>
        </w:tc>
        <w:tc>
          <w:tcPr>
            <w:tcW w:w="3021"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Suplente</w:t>
            </w:r>
          </w:p>
        </w:tc>
      </w:tr>
      <w:tr w:rsidR="00436A5F" w:rsidRPr="00436A5F" w:rsidTr="00436A5F">
        <w:tc>
          <w:tcPr>
            <w:tcW w:w="4318" w:type="dxa"/>
          </w:tcPr>
          <w:p w:rsidR="00436A5F" w:rsidRPr="00436A5F" w:rsidRDefault="00436A5F" w:rsidP="000654B4">
            <w:pPr>
              <w:pStyle w:val="Cabealho"/>
              <w:tabs>
                <w:tab w:val="left" w:pos="3600"/>
              </w:tabs>
              <w:jc w:val="both"/>
              <w:rPr>
                <w:rFonts w:ascii="Times New Roman" w:hAnsi="Times New Roman"/>
                <w:sz w:val="24"/>
                <w:szCs w:val="24"/>
              </w:rPr>
            </w:pPr>
            <w:r w:rsidRPr="00436A5F">
              <w:rPr>
                <w:rFonts w:ascii="Times New Roman" w:hAnsi="Times New Roman"/>
                <w:sz w:val="24"/>
                <w:szCs w:val="24"/>
              </w:rPr>
              <w:t>Associação de Produtores Unidos</w:t>
            </w:r>
          </w:p>
        </w:tc>
        <w:tc>
          <w:tcPr>
            <w:tcW w:w="2159"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Marcos Luciano de Souza Lima</w:t>
            </w:r>
          </w:p>
        </w:tc>
        <w:tc>
          <w:tcPr>
            <w:tcW w:w="3021"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Jaime Viana</w:t>
            </w:r>
          </w:p>
        </w:tc>
      </w:tr>
      <w:tr w:rsidR="00436A5F" w:rsidRPr="00436A5F" w:rsidTr="00436A5F">
        <w:tc>
          <w:tcPr>
            <w:tcW w:w="4318"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Entidades Privadas</w:t>
            </w:r>
          </w:p>
        </w:tc>
        <w:tc>
          <w:tcPr>
            <w:tcW w:w="2159" w:type="dxa"/>
          </w:tcPr>
          <w:p w:rsidR="00436A5F" w:rsidRPr="00436A5F" w:rsidRDefault="00436A5F" w:rsidP="000654B4">
            <w:pPr>
              <w:pStyle w:val="Cabealho"/>
              <w:tabs>
                <w:tab w:val="left" w:pos="3600"/>
              </w:tabs>
              <w:jc w:val="both"/>
              <w:rPr>
                <w:rFonts w:ascii="Times New Roman" w:hAnsi="Times New Roman"/>
                <w:b/>
                <w:sz w:val="24"/>
                <w:szCs w:val="24"/>
              </w:rPr>
            </w:pPr>
          </w:p>
        </w:tc>
        <w:tc>
          <w:tcPr>
            <w:tcW w:w="3021" w:type="dxa"/>
          </w:tcPr>
          <w:p w:rsidR="00436A5F" w:rsidRPr="00436A5F" w:rsidRDefault="00436A5F" w:rsidP="000654B4">
            <w:pPr>
              <w:pStyle w:val="Cabealho"/>
              <w:tabs>
                <w:tab w:val="left" w:pos="3600"/>
              </w:tabs>
              <w:jc w:val="both"/>
              <w:rPr>
                <w:rFonts w:ascii="Times New Roman" w:hAnsi="Times New Roman"/>
                <w:b/>
                <w:sz w:val="24"/>
                <w:szCs w:val="24"/>
              </w:rPr>
            </w:pPr>
          </w:p>
        </w:tc>
      </w:tr>
      <w:tr w:rsidR="00436A5F" w:rsidRPr="00436A5F" w:rsidTr="00436A5F">
        <w:tc>
          <w:tcPr>
            <w:tcW w:w="4318" w:type="dxa"/>
          </w:tcPr>
          <w:p w:rsidR="00436A5F" w:rsidRPr="00436A5F" w:rsidRDefault="00436A5F" w:rsidP="000654B4">
            <w:pPr>
              <w:pStyle w:val="Cabealho"/>
              <w:tabs>
                <w:tab w:val="left" w:pos="3600"/>
              </w:tabs>
              <w:jc w:val="both"/>
              <w:rPr>
                <w:rFonts w:ascii="Times New Roman" w:hAnsi="Times New Roman"/>
                <w:sz w:val="24"/>
                <w:szCs w:val="24"/>
              </w:rPr>
            </w:pPr>
            <w:r w:rsidRPr="00436A5F">
              <w:rPr>
                <w:rFonts w:ascii="Times New Roman" w:hAnsi="Times New Roman"/>
                <w:sz w:val="24"/>
                <w:szCs w:val="24"/>
              </w:rPr>
              <w:t>Associação dos Agropecuaristas</w:t>
            </w:r>
          </w:p>
        </w:tc>
        <w:tc>
          <w:tcPr>
            <w:tcW w:w="2159"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Gilberto Dias Guimarães</w:t>
            </w:r>
          </w:p>
        </w:tc>
        <w:tc>
          <w:tcPr>
            <w:tcW w:w="3021" w:type="dxa"/>
          </w:tcPr>
          <w:p w:rsidR="00436A5F" w:rsidRPr="00436A5F" w:rsidRDefault="00436A5F" w:rsidP="000654B4">
            <w:pPr>
              <w:pStyle w:val="Cabealho"/>
              <w:tabs>
                <w:tab w:val="left" w:pos="3600"/>
              </w:tabs>
              <w:jc w:val="both"/>
              <w:rPr>
                <w:rFonts w:ascii="Times New Roman" w:hAnsi="Times New Roman"/>
                <w:b/>
                <w:sz w:val="24"/>
                <w:szCs w:val="24"/>
              </w:rPr>
            </w:pPr>
            <w:r w:rsidRPr="00436A5F">
              <w:rPr>
                <w:rFonts w:ascii="Times New Roman" w:hAnsi="Times New Roman"/>
                <w:b/>
                <w:sz w:val="24"/>
                <w:szCs w:val="24"/>
              </w:rPr>
              <w:t>Ademir de Souza</w:t>
            </w:r>
          </w:p>
        </w:tc>
      </w:tr>
    </w:tbl>
    <w:p w:rsidR="00436A5F" w:rsidRPr="00436A5F" w:rsidRDefault="00436A5F" w:rsidP="000654B4">
      <w:pPr>
        <w:pStyle w:val="Cabealho"/>
        <w:tabs>
          <w:tab w:val="left" w:pos="3600"/>
        </w:tabs>
        <w:jc w:val="both"/>
        <w:rPr>
          <w:rFonts w:ascii="Times New Roman" w:hAnsi="Times New Roman" w:cs="Times New Roman"/>
          <w:b/>
          <w:sz w:val="24"/>
          <w:szCs w:val="24"/>
          <w:u w:val="single"/>
        </w:rPr>
      </w:pPr>
    </w:p>
    <w:p w:rsidR="00436A5F" w:rsidRPr="00436A5F" w:rsidRDefault="00436A5F" w:rsidP="000654B4">
      <w:pPr>
        <w:pStyle w:val="Cabealho"/>
        <w:tabs>
          <w:tab w:val="left" w:pos="2520"/>
          <w:tab w:val="left" w:pos="3600"/>
        </w:tabs>
        <w:ind w:left="1620" w:hanging="1620"/>
        <w:jc w:val="both"/>
        <w:rPr>
          <w:rFonts w:ascii="Times New Roman" w:hAnsi="Times New Roman" w:cs="Times New Roman"/>
          <w:sz w:val="24"/>
          <w:szCs w:val="24"/>
        </w:rPr>
      </w:pPr>
      <w:r w:rsidRPr="00436A5F">
        <w:rPr>
          <w:rFonts w:ascii="Times New Roman" w:hAnsi="Times New Roman" w:cs="Times New Roman"/>
          <w:b/>
          <w:sz w:val="24"/>
          <w:szCs w:val="24"/>
        </w:rPr>
        <w:t xml:space="preserve">ARTIGO 2º - </w:t>
      </w:r>
      <w:r w:rsidRPr="00436A5F">
        <w:rPr>
          <w:rFonts w:ascii="Times New Roman" w:hAnsi="Times New Roman" w:cs="Times New Roman"/>
          <w:sz w:val="24"/>
          <w:szCs w:val="24"/>
        </w:rPr>
        <w:t>Este Decreto entra em vigor na data de sua publicação e/ou afixação, revogadas as disposições em contrario.</w:t>
      </w:r>
    </w:p>
    <w:p w:rsidR="00436A5F" w:rsidRPr="00436A5F" w:rsidRDefault="00436A5F" w:rsidP="000654B4">
      <w:pPr>
        <w:pStyle w:val="Cabealho"/>
        <w:tabs>
          <w:tab w:val="left" w:pos="2520"/>
          <w:tab w:val="left" w:pos="3600"/>
        </w:tabs>
        <w:jc w:val="both"/>
        <w:rPr>
          <w:rFonts w:ascii="Times New Roman" w:hAnsi="Times New Roman" w:cs="Times New Roman"/>
          <w:sz w:val="24"/>
          <w:szCs w:val="24"/>
        </w:rPr>
      </w:pPr>
    </w:p>
    <w:p w:rsidR="000C1BEC" w:rsidRPr="00436A5F" w:rsidRDefault="00436A5F" w:rsidP="000654B4">
      <w:pPr>
        <w:spacing w:after="0" w:line="240" w:lineRule="auto"/>
        <w:rPr>
          <w:rFonts w:ascii="Times New Roman" w:hAnsi="Times New Roman"/>
          <w:sz w:val="24"/>
          <w:szCs w:val="24"/>
        </w:rPr>
      </w:pPr>
      <w:r w:rsidRPr="00436A5F">
        <w:rPr>
          <w:rFonts w:ascii="Times New Roman" w:hAnsi="Times New Roman"/>
          <w:sz w:val="24"/>
          <w:szCs w:val="24"/>
        </w:rPr>
        <w:t xml:space="preserve">Gabinete do Prefeito Municipal de Deodápolis, aos </w:t>
      </w:r>
      <w:r w:rsidR="000654B4">
        <w:rPr>
          <w:rFonts w:ascii="Times New Roman" w:hAnsi="Times New Roman"/>
          <w:sz w:val="24"/>
          <w:szCs w:val="24"/>
        </w:rPr>
        <w:t>13</w:t>
      </w:r>
      <w:r w:rsidRPr="00436A5F">
        <w:rPr>
          <w:rFonts w:ascii="Times New Roman" w:hAnsi="Times New Roman"/>
          <w:sz w:val="24"/>
          <w:szCs w:val="24"/>
        </w:rPr>
        <w:t xml:space="preserve"> de Março de 2017.</w:t>
      </w:r>
    </w:p>
    <w:p w:rsidR="00436A5F" w:rsidRDefault="00436A5F" w:rsidP="000654B4">
      <w:pPr>
        <w:spacing w:after="0" w:line="240" w:lineRule="auto"/>
        <w:rPr>
          <w:rFonts w:ascii="Times New Roman" w:hAnsi="Times New Roman"/>
          <w:sz w:val="24"/>
          <w:szCs w:val="24"/>
        </w:rPr>
      </w:pPr>
    </w:p>
    <w:p w:rsidR="000654B4" w:rsidRDefault="000654B4" w:rsidP="000654B4">
      <w:pPr>
        <w:spacing w:after="0" w:line="240" w:lineRule="auto"/>
        <w:rPr>
          <w:rFonts w:ascii="Times New Roman" w:hAnsi="Times New Roman"/>
          <w:sz w:val="24"/>
          <w:szCs w:val="24"/>
        </w:rPr>
      </w:pPr>
    </w:p>
    <w:p w:rsidR="000654B4" w:rsidRDefault="000654B4" w:rsidP="000654B4">
      <w:pPr>
        <w:spacing w:after="0" w:line="240" w:lineRule="auto"/>
        <w:rPr>
          <w:rFonts w:ascii="Times New Roman" w:hAnsi="Times New Roman"/>
          <w:sz w:val="24"/>
          <w:szCs w:val="24"/>
        </w:rPr>
      </w:pPr>
    </w:p>
    <w:p w:rsidR="000654B4" w:rsidRDefault="000654B4" w:rsidP="000654B4">
      <w:pPr>
        <w:spacing w:after="0" w:line="240" w:lineRule="auto"/>
        <w:rPr>
          <w:rFonts w:ascii="Times New Roman" w:hAnsi="Times New Roman"/>
          <w:sz w:val="24"/>
          <w:szCs w:val="24"/>
        </w:rPr>
      </w:pPr>
    </w:p>
    <w:p w:rsidR="000654B4" w:rsidRPr="007E72D0" w:rsidRDefault="000654B4" w:rsidP="000654B4">
      <w:pPr>
        <w:spacing w:after="0" w:line="240" w:lineRule="auto"/>
        <w:ind w:right="-567"/>
        <w:jc w:val="center"/>
        <w:rPr>
          <w:b/>
          <w:bCs/>
        </w:rPr>
      </w:pPr>
      <w:r w:rsidRPr="007E72D0">
        <w:rPr>
          <w:b/>
          <w:bCs/>
        </w:rPr>
        <w:t>Valdir Luiz Sartor</w:t>
      </w:r>
    </w:p>
    <w:p w:rsidR="000654B4" w:rsidRPr="007E72D0" w:rsidRDefault="000654B4" w:rsidP="000654B4">
      <w:pPr>
        <w:spacing w:after="0" w:line="240" w:lineRule="auto"/>
        <w:ind w:right="-567"/>
        <w:jc w:val="center"/>
      </w:pPr>
      <w:r w:rsidRPr="007E72D0">
        <w:rPr>
          <w:b/>
        </w:rPr>
        <w:t>Prefeito Municipal</w:t>
      </w:r>
    </w:p>
    <w:p w:rsidR="000654B4" w:rsidRPr="00436A5F" w:rsidRDefault="000654B4" w:rsidP="000654B4">
      <w:pPr>
        <w:spacing w:after="0" w:line="240" w:lineRule="auto"/>
        <w:jc w:val="center"/>
        <w:rPr>
          <w:rFonts w:ascii="Times New Roman" w:hAnsi="Times New Roman"/>
          <w:sz w:val="24"/>
          <w:szCs w:val="24"/>
        </w:rPr>
      </w:pPr>
    </w:p>
    <w:sectPr w:rsidR="000654B4" w:rsidRPr="00436A5F" w:rsidSect="00A04E97">
      <w:headerReference w:type="even" r:id="rId6"/>
      <w:headerReference w:type="default" r:id="rId7"/>
      <w:foot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958" w:rsidRDefault="00400958" w:rsidP="004B313D">
      <w:pPr>
        <w:spacing w:after="0" w:line="240" w:lineRule="auto"/>
      </w:pPr>
      <w:r>
        <w:separator/>
      </w:r>
    </w:p>
  </w:endnote>
  <w:endnote w:type="continuationSeparator" w:id="1">
    <w:p w:rsidR="00400958" w:rsidRDefault="00400958" w:rsidP="004B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4B313D">
    <w:pPr>
      <w:pStyle w:val="Rodap"/>
    </w:pPr>
    <w:r>
      <w:rPr>
        <w:noProof/>
        <w:lang w:eastAsia="pt-BR"/>
      </w:rPr>
      <w:pict>
        <v:shapetype id="_x0000_t202" coordsize="21600,21600" o:spt="202" path="m,l,21600r21600,l21600,xe">
          <v:stroke joinstyle="miter"/>
          <v:path gradientshapeok="t" o:connecttype="rect"/>
        </v:shapetype>
        <v:shape id="_x0000_s1026" type="#_x0000_t202" style="position:absolute;margin-left:47pt;margin-top:-13.8pt;width:253.5pt;height:5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96B40" w:rsidRDefault="00C863F7"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D96B40">
                    <w:rPr>
                      <w:rStyle w:val="Hyperlink"/>
                      <w:sz w:val="26"/>
                      <w:szCs w:val="26"/>
                    </w:rPr>
                    <w:t>www.deodapolis.ms.gov.br</w:t>
                  </w:r>
                </w:hyperlink>
              </w:p>
              <w:p w:rsidR="00D96B40" w:rsidRDefault="00400958"/>
            </w:txbxContent>
          </v:textbox>
        </v:shape>
      </w:pict>
    </w:r>
    <w:r w:rsidR="00C863F7">
      <w:rPr>
        <w:noProof/>
        <w:lang w:eastAsia="pt-BR"/>
      </w:rPr>
      <w:drawing>
        <wp:anchor distT="0" distB="0" distL="114300" distR="114300" simplePos="0" relativeHeight="251662336"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8509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958" w:rsidRDefault="00400958" w:rsidP="004B313D">
      <w:pPr>
        <w:spacing w:after="0" w:line="240" w:lineRule="auto"/>
      </w:pPr>
      <w:r>
        <w:separator/>
      </w:r>
    </w:p>
  </w:footnote>
  <w:footnote w:type="continuationSeparator" w:id="1">
    <w:p w:rsidR="00400958" w:rsidRDefault="00400958" w:rsidP="004B3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4B313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8" type="#_x0000_t75" style="position:absolute;margin-left:0;margin-top:0;width:595.7pt;height:841.9pt;z-index:-251651072;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4B313D">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9" type="#_x0000_t75" style="position:absolute;margin-left:0;margin-top:0;width:595.7pt;height:841.9pt;z-index:-251650048;mso-position-horizontal:center;mso-position-horizontal-relative:margin;mso-position-vertical:center;mso-position-vertical-relative:margin" o:allowincell="f">
          <v:imagedata r:id="rId1" o:title="FUNDO3"/>
          <w10:wrap anchorx="margin" anchory="margin"/>
        </v:shape>
      </w:pict>
    </w:r>
    <w:r w:rsidR="00C863F7" w:rsidRPr="006877A3">
      <w:rPr>
        <w:noProof/>
        <w:lang w:eastAsia="pt-BR"/>
      </w:rPr>
      <w:drawing>
        <wp:anchor distT="0" distB="0" distL="114300" distR="114300" simplePos="0" relativeHeight="251663360"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5" type="#_x0000_t202" style="position:absolute;margin-left:48.45pt;margin-top:-13.65pt;width:375.75pt;height:69.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C863F7"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Mato Grosso do Sul GESTÃO 2017-2020 –</w:t>
                </w:r>
                <w:r>
                  <w:br/>
                </w:r>
                <w:r w:rsidRPr="00250EFB">
                  <w:rPr>
                    <w:i/>
                  </w:rPr>
                  <w:t>“Gestão Compartilhada”</w:t>
                </w:r>
                <w:r>
                  <w:br/>
                </w:r>
              </w:p>
            </w:txbxContent>
          </v:textbox>
        </v:shape>
      </w:pict>
    </w:r>
  </w:p>
  <w:p w:rsidR="00250EFB" w:rsidRPr="006877A3" w:rsidRDefault="00400958">
    <w:pPr>
      <w:pStyle w:val="Cabealho"/>
    </w:pPr>
  </w:p>
  <w:p w:rsidR="00250EFB" w:rsidRPr="006877A3" w:rsidRDefault="00400958">
    <w:pPr>
      <w:pStyle w:val="Cabealho"/>
    </w:pPr>
  </w:p>
  <w:p w:rsidR="00250EFB" w:rsidRPr="006877A3" w:rsidRDefault="00400958">
    <w:pPr>
      <w:pStyle w:val="Cabealho"/>
    </w:pPr>
  </w:p>
  <w:p w:rsidR="00250EFB" w:rsidRPr="006877A3" w:rsidRDefault="0040095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4B313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7" type="#_x0000_t75" style="position:absolute;margin-left:0;margin-top:0;width:595.7pt;height:841.9pt;z-index:-251652096;mso-position-horizontal:center;mso-position-horizontal-relative:margin;mso-position-vertical:center;mso-position-vertical-relative:margin" o:allowincell="f">
          <v:imagedata r:id="rId1" o:title="FUNDO3"/>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436A5F"/>
    <w:rsid w:val="000654B4"/>
    <w:rsid w:val="000C1BEC"/>
    <w:rsid w:val="00400958"/>
    <w:rsid w:val="00436A5F"/>
    <w:rsid w:val="004B313D"/>
    <w:rsid w:val="007E6BE2"/>
    <w:rsid w:val="00C863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5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36A5F"/>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436A5F"/>
  </w:style>
  <w:style w:type="paragraph" w:styleId="Rodap">
    <w:name w:val="footer"/>
    <w:basedOn w:val="Normal"/>
    <w:link w:val="RodapChar"/>
    <w:uiPriority w:val="99"/>
    <w:unhideWhenUsed/>
    <w:rsid w:val="00436A5F"/>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436A5F"/>
  </w:style>
  <w:style w:type="character" w:styleId="Hyperlink">
    <w:name w:val="Hyperlink"/>
    <w:basedOn w:val="Fontepargpadro"/>
    <w:uiPriority w:val="99"/>
    <w:unhideWhenUsed/>
    <w:rsid w:val="00436A5F"/>
    <w:rPr>
      <w:color w:val="0000FF" w:themeColor="hyperlink"/>
      <w:u w:val="single"/>
    </w:rPr>
  </w:style>
  <w:style w:type="table" w:styleId="Tabelacomgrade">
    <w:name w:val="Table Grid"/>
    <w:basedOn w:val="Tabelanormal"/>
    <w:uiPriority w:val="59"/>
    <w:rsid w:val="00436A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Synara Juridico</dc:creator>
  <cp:lastModifiedBy>Synara Juridico</cp:lastModifiedBy>
  <cp:revision>2</cp:revision>
  <dcterms:created xsi:type="dcterms:W3CDTF">2017-03-10T18:46:00Z</dcterms:created>
  <dcterms:modified xsi:type="dcterms:W3CDTF">2017-03-13T16:54:00Z</dcterms:modified>
</cp:coreProperties>
</file>