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40" w:rsidRPr="00D71358" w:rsidRDefault="000C4140" w:rsidP="000C4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1358">
        <w:rPr>
          <w:rFonts w:ascii="Times New Roman" w:hAnsi="Times New Roman"/>
          <w:b/>
          <w:sz w:val="24"/>
          <w:szCs w:val="24"/>
          <w:u w:val="single"/>
        </w:rPr>
        <w:t xml:space="preserve">DECRETO Nº034/2017 DE </w:t>
      </w:r>
      <w:proofErr w:type="gramStart"/>
      <w:r w:rsidRPr="00D71358">
        <w:rPr>
          <w:rFonts w:ascii="Times New Roman" w:hAnsi="Times New Roman"/>
          <w:b/>
          <w:sz w:val="24"/>
          <w:szCs w:val="24"/>
          <w:u w:val="single"/>
        </w:rPr>
        <w:t>28 MARÇO</w:t>
      </w:r>
      <w:proofErr w:type="gramEnd"/>
      <w:r w:rsidRPr="00D71358">
        <w:rPr>
          <w:rFonts w:ascii="Times New Roman" w:hAnsi="Times New Roman"/>
          <w:b/>
          <w:sz w:val="24"/>
          <w:szCs w:val="24"/>
          <w:u w:val="single"/>
        </w:rPr>
        <w:t xml:space="preserve"> DE 2017.</w:t>
      </w:r>
    </w:p>
    <w:p w:rsidR="000C4140" w:rsidRPr="00D71358" w:rsidRDefault="000C4140" w:rsidP="000C4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57F1" w:rsidRDefault="006857F1" w:rsidP="000C4140">
      <w:pPr>
        <w:pStyle w:val="Cabealho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140" w:rsidRPr="00D71358" w:rsidRDefault="000C4140" w:rsidP="000C4140">
      <w:pPr>
        <w:pStyle w:val="Cabealh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Dispõe sobre a composição do Conselho do Esporte Municipal de </w:t>
      </w:r>
      <w:proofErr w:type="spellStart"/>
      <w:r w:rsidRPr="00D7135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71358">
        <w:rPr>
          <w:rFonts w:ascii="Times New Roman" w:hAnsi="Times New Roman" w:cs="Times New Roman"/>
          <w:b/>
          <w:sz w:val="24"/>
          <w:szCs w:val="24"/>
        </w:rPr>
        <w:t>eodápolis</w:t>
      </w:r>
      <w:proofErr w:type="spellEnd"/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</w:t>
      </w:r>
      <w:r w:rsidRPr="00D71358">
        <w:rPr>
          <w:rFonts w:ascii="Times New Roman" w:hAnsi="Times New Roman" w:cs="Times New Roman"/>
          <w:b/>
          <w:sz w:val="24"/>
          <w:szCs w:val="24"/>
        </w:rPr>
        <w:t>.</w:t>
      </w:r>
    </w:p>
    <w:p w:rsidR="000C4140" w:rsidRPr="00D71358" w:rsidRDefault="000C4140" w:rsidP="000C4140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40" w:rsidRDefault="000C4140" w:rsidP="000C4140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7F1" w:rsidRPr="00D71358" w:rsidRDefault="006857F1" w:rsidP="000C4140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40" w:rsidRPr="00D71358" w:rsidRDefault="00D71358" w:rsidP="000C4140">
      <w:pPr>
        <w:pStyle w:val="Cabealho"/>
        <w:tabs>
          <w:tab w:val="left" w:pos="3600"/>
        </w:tabs>
        <w:ind w:firstLine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4140" w:rsidRPr="00D713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140" w:rsidRPr="00D71358">
        <w:rPr>
          <w:rFonts w:ascii="Times New Roman" w:hAnsi="Times New Roman" w:cs="Times New Roman"/>
          <w:b/>
          <w:sz w:val="24"/>
          <w:szCs w:val="24"/>
        </w:rPr>
        <w:t>Sr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proofErr w:type="spellEnd"/>
      <w:r w:rsidR="000C4140" w:rsidRPr="00D71358">
        <w:rPr>
          <w:rFonts w:ascii="Times New Roman" w:hAnsi="Times New Roman" w:cs="Times New Roman"/>
          <w:b/>
          <w:sz w:val="24"/>
          <w:szCs w:val="24"/>
        </w:rPr>
        <w:t xml:space="preserve"> VALDIR LUIZ SARTOR, </w:t>
      </w:r>
      <w:r w:rsidR="000C4140" w:rsidRPr="00D71358">
        <w:rPr>
          <w:rFonts w:ascii="Times New Roman" w:hAnsi="Times New Roman" w:cs="Times New Roman"/>
          <w:sz w:val="24"/>
          <w:szCs w:val="24"/>
        </w:rPr>
        <w:t xml:space="preserve">prefeito Municipal de </w:t>
      </w:r>
      <w:proofErr w:type="spellStart"/>
      <w:r w:rsidR="000C4140" w:rsidRPr="00D71358">
        <w:rPr>
          <w:rFonts w:ascii="Times New Roman" w:hAnsi="Times New Roman" w:cs="Times New Roman"/>
          <w:sz w:val="24"/>
          <w:szCs w:val="24"/>
        </w:rPr>
        <w:t>Deodápolis</w:t>
      </w:r>
      <w:proofErr w:type="spellEnd"/>
      <w:r w:rsidR="000C4140" w:rsidRPr="00D71358">
        <w:rPr>
          <w:rFonts w:ascii="Times New Roman" w:hAnsi="Times New Roman" w:cs="Times New Roman"/>
          <w:sz w:val="24"/>
          <w:szCs w:val="24"/>
        </w:rPr>
        <w:t xml:space="preserve">, Estado de Mato Grosso do Sul, no uso de suas atribuições legais, de acordo com as disposições contidas na Lei Municipal nº </w:t>
      </w:r>
      <w:r>
        <w:rPr>
          <w:rFonts w:ascii="Times New Roman" w:hAnsi="Times New Roman" w:cs="Times New Roman"/>
          <w:sz w:val="24"/>
          <w:szCs w:val="24"/>
        </w:rPr>
        <w:t>640</w:t>
      </w:r>
      <w:r w:rsidR="000C4140" w:rsidRPr="00D7135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4140" w:rsidRPr="00D7135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0C4140" w:rsidRPr="00D71358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0C4140" w:rsidRPr="00D713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4140" w:rsidRPr="00D71358" w:rsidRDefault="000C4140" w:rsidP="000C4140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4140" w:rsidRPr="00D71358" w:rsidRDefault="000C4140" w:rsidP="000C4140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4140" w:rsidRPr="00D71358" w:rsidRDefault="000C4140" w:rsidP="000C4140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58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0C4140" w:rsidRPr="00D71358" w:rsidRDefault="000C4140" w:rsidP="000C4140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904" w:rsidRPr="00D71358" w:rsidRDefault="000C4140" w:rsidP="003978B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58">
        <w:rPr>
          <w:rFonts w:ascii="Times New Roman" w:hAnsi="Times New Roman"/>
          <w:b/>
          <w:sz w:val="24"/>
          <w:szCs w:val="24"/>
        </w:rPr>
        <w:t xml:space="preserve">ARTIGO 1º - </w:t>
      </w:r>
      <w:r w:rsidR="00D20144" w:rsidRPr="00D71358">
        <w:rPr>
          <w:rFonts w:ascii="Times New Roman" w:hAnsi="Times New Roman"/>
          <w:sz w:val="24"/>
          <w:szCs w:val="24"/>
        </w:rPr>
        <w:t>Ficam designados</w:t>
      </w:r>
      <w:r w:rsidRPr="00D71358">
        <w:rPr>
          <w:rFonts w:ascii="Times New Roman" w:hAnsi="Times New Roman"/>
          <w:sz w:val="24"/>
          <w:szCs w:val="24"/>
        </w:rPr>
        <w:t xml:space="preserve"> os seguintes membros para comporem o Conselho do Esporte e Lazer do Município de </w:t>
      </w:r>
      <w:proofErr w:type="spellStart"/>
      <w:proofErr w:type="gramStart"/>
      <w:r w:rsidRPr="00D71358">
        <w:rPr>
          <w:rFonts w:ascii="Times New Roman" w:hAnsi="Times New Roman"/>
          <w:sz w:val="24"/>
          <w:szCs w:val="24"/>
        </w:rPr>
        <w:t>Deodápolis-MS</w:t>
      </w:r>
      <w:proofErr w:type="spellEnd"/>
      <w:proofErr w:type="gramEnd"/>
      <w:r w:rsidR="003978B9">
        <w:rPr>
          <w:rFonts w:ascii="Times New Roman" w:hAnsi="Times New Roman"/>
          <w:sz w:val="24"/>
          <w:szCs w:val="24"/>
        </w:rPr>
        <w:t>,</w:t>
      </w:r>
      <w:r w:rsidR="003978B9" w:rsidRPr="003978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78B9"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vinculado à </w:t>
      </w:r>
      <w:r w:rsidR="003978B9">
        <w:rPr>
          <w:rFonts w:ascii="Times New Roman" w:hAnsi="Times New Roman"/>
          <w:sz w:val="24"/>
          <w:szCs w:val="24"/>
          <w:shd w:val="clear" w:color="auto" w:fill="FFFFFF"/>
        </w:rPr>
        <w:t>Secretaria</w:t>
      </w:r>
      <w:r w:rsidR="003978B9"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Municipal de Educação, Cultura, Esporte e Lazer, o Conselho Municipal de Esporte e Lazer, </w:t>
      </w:r>
      <w:r w:rsidR="006857F1">
        <w:rPr>
          <w:rFonts w:ascii="Times New Roman" w:hAnsi="Times New Roman"/>
          <w:sz w:val="24"/>
          <w:szCs w:val="24"/>
          <w:shd w:val="clear" w:color="auto" w:fill="FFFFFF"/>
        </w:rPr>
        <w:t>tem</w:t>
      </w:r>
      <w:r w:rsidR="003978B9"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a finalidade de formular políticas públicas e implementar ações destinadas ao fortalecimento das atividades esporti</w:t>
      </w:r>
      <w:r w:rsidR="003978B9">
        <w:rPr>
          <w:rFonts w:ascii="Times New Roman" w:hAnsi="Times New Roman"/>
          <w:sz w:val="24"/>
          <w:szCs w:val="24"/>
          <w:shd w:val="clear" w:color="auto" w:fill="FFFFFF"/>
        </w:rPr>
        <w:t xml:space="preserve">vas e de lazer em </w:t>
      </w:r>
      <w:proofErr w:type="spellStart"/>
      <w:r w:rsidR="003978B9">
        <w:rPr>
          <w:rFonts w:ascii="Times New Roman" w:hAnsi="Times New Roman"/>
          <w:sz w:val="24"/>
          <w:szCs w:val="24"/>
          <w:shd w:val="clear" w:color="auto" w:fill="FFFFFF"/>
        </w:rPr>
        <w:t>Deodápolis-MS</w:t>
      </w:r>
      <w:proofErr w:type="spellEnd"/>
      <w:r w:rsidRPr="00D71358"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94904" w:rsidRPr="00D71358" w:rsidTr="00094904"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Entidade do Governo Municipal</w:t>
            </w:r>
          </w:p>
        </w:tc>
        <w:tc>
          <w:tcPr>
            <w:tcW w:w="2881" w:type="dxa"/>
          </w:tcPr>
          <w:p w:rsidR="00094904" w:rsidRPr="00D71358" w:rsidRDefault="00094904" w:rsidP="00D71358">
            <w:pPr>
              <w:pStyle w:val="Cabealho"/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Titular</w:t>
            </w:r>
          </w:p>
        </w:tc>
        <w:tc>
          <w:tcPr>
            <w:tcW w:w="2882" w:type="dxa"/>
          </w:tcPr>
          <w:p w:rsidR="00094904" w:rsidRPr="00D71358" w:rsidRDefault="00094904" w:rsidP="00D71358">
            <w:pPr>
              <w:pStyle w:val="Cabealho"/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</w:p>
        </w:tc>
      </w:tr>
      <w:tr w:rsidR="00094904" w:rsidRPr="00D71358" w:rsidTr="00094904"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da Assistência Social, Habitação e Cidadania</w:t>
            </w:r>
          </w:p>
        </w:tc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Márcia Cristina da Silva</w:t>
            </w:r>
          </w:p>
        </w:tc>
        <w:tc>
          <w:tcPr>
            <w:tcW w:w="2882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Arlene</w:t>
            </w:r>
            <w:proofErr w:type="spellEnd"/>
            <w:r w:rsidRPr="00D71358">
              <w:rPr>
                <w:rFonts w:ascii="Times New Roman" w:hAnsi="Times New Roman" w:cs="Times New Roman"/>
                <w:sz w:val="24"/>
                <w:szCs w:val="24"/>
              </w:rPr>
              <w:t xml:space="preserve"> Cristina da Silva</w:t>
            </w:r>
          </w:p>
        </w:tc>
      </w:tr>
      <w:tr w:rsidR="00094904" w:rsidRPr="00D71358" w:rsidTr="00094904"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Educação, Cultura, Esporte e Lazer</w:t>
            </w:r>
          </w:p>
        </w:tc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Adriano Araújo Pimentel</w:t>
            </w:r>
          </w:p>
        </w:tc>
        <w:tc>
          <w:tcPr>
            <w:tcW w:w="2882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Wanderley de Assis Batista Carvalho</w:t>
            </w:r>
          </w:p>
        </w:tc>
      </w:tr>
      <w:tr w:rsidR="00094904" w:rsidRPr="00D71358" w:rsidTr="00094904"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Poder Legislativo</w:t>
            </w:r>
          </w:p>
        </w:tc>
        <w:tc>
          <w:tcPr>
            <w:tcW w:w="2881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Carlos de Lima Neto Júnior</w:t>
            </w:r>
          </w:p>
        </w:tc>
        <w:tc>
          <w:tcPr>
            <w:tcW w:w="2882" w:type="dxa"/>
          </w:tcPr>
          <w:p w:rsidR="00094904" w:rsidRPr="00D71358" w:rsidRDefault="00094904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Marcio Teles Pereira</w:t>
            </w:r>
          </w:p>
        </w:tc>
      </w:tr>
    </w:tbl>
    <w:p w:rsidR="00094904" w:rsidRPr="00D71358" w:rsidRDefault="00094904" w:rsidP="000C4140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78B9" w:rsidRDefault="000C4140" w:rsidP="000C4140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1358">
        <w:rPr>
          <w:rFonts w:ascii="Times New Roman" w:hAnsi="Times New Roman" w:cs="Times New Roman"/>
          <w:b/>
          <w:sz w:val="24"/>
          <w:szCs w:val="24"/>
        </w:rPr>
        <w:t xml:space="preserve">ARTIGO 2º - </w:t>
      </w:r>
      <w:r w:rsidR="003978B9" w:rsidRPr="00EC7854">
        <w:rPr>
          <w:rFonts w:ascii="Times New Roman" w:hAnsi="Times New Roman"/>
          <w:sz w:val="24"/>
          <w:szCs w:val="24"/>
          <w:shd w:val="clear" w:color="auto" w:fill="FFFFFF"/>
        </w:rPr>
        <w:t>O mandato dos Conselheiros será de 02 (dois) anos</w:t>
      </w:r>
      <w:r w:rsidR="003978B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978B9" w:rsidRDefault="003978B9" w:rsidP="000C4140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40" w:rsidRPr="00D71358" w:rsidRDefault="003978B9" w:rsidP="000C4140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3978B9">
        <w:rPr>
          <w:rFonts w:ascii="Times New Roman" w:hAnsi="Times New Roman" w:cs="Times New Roman"/>
          <w:b/>
          <w:sz w:val="24"/>
          <w:szCs w:val="24"/>
        </w:rPr>
        <w:t>ARTIGO 3º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40" w:rsidRPr="00D71358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0C4140" w:rsidRPr="00D71358" w:rsidRDefault="000C4140" w:rsidP="000C4140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4140" w:rsidRPr="00D71358" w:rsidRDefault="000C4140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358">
        <w:rPr>
          <w:rFonts w:ascii="Times New Roman" w:hAnsi="Times New Roman"/>
          <w:sz w:val="24"/>
          <w:szCs w:val="24"/>
        </w:rPr>
        <w:t xml:space="preserve">Gabinete do Prefeito Municipal de </w:t>
      </w:r>
      <w:proofErr w:type="spellStart"/>
      <w:r w:rsidRPr="00D71358">
        <w:rPr>
          <w:rFonts w:ascii="Times New Roman" w:hAnsi="Times New Roman"/>
          <w:sz w:val="24"/>
          <w:szCs w:val="24"/>
        </w:rPr>
        <w:t>Deodápolis</w:t>
      </w:r>
      <w:proofErr w:type="spellEnd"/>
      <w:r w:rsidRPr="00D71358">
        <w:rPr>
          <w:rFonts w:ascii="Times New Roman" w:hAnsi="Times New Roman"/>
          <w:sz w:val="24"/>
          <w:szCs w:val="24"/>
        </w:rPr>
        <w:t xml:space="preserve">, aos </w:t>
      </w:r>
      <w:r w:rsidR="003978B9">
        <w:rPr>
          <w:rFonts w:ascii="Times New Roman" w:hAnsi="Times New Roman"/>
          <w:sz w:val="24"/>
          <w:szCs w:val="24"/>
        </w:rPr>
        <w:t>28</w:t>
      </w:r>
      <w:r w:rsidRPr="00D71358">
        <w:rPr>
          <w:rFonts w:ascii="Times New Roman" w:hAnsi="Times New Roman"/>
          <w:sz w:val="24"/>
          <w:szCs w:val="24"/>
        </w:rPr>
        <w:t xml:space="preserve"> de Março de 2017.</w:t>
      </w:r>
    </w:p>
    <w:p w:rsidR="000C4140" w:rsidRPr="00D71358" w:rsidRDefault="000C4140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140" w:rsidRPr="00D71358" w:rsidRDefault="000C4140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140" w:rsidRDefault="000C4140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7F1" w:rsidRPr="00D71358" w:rsidRDefault="006857F1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140" w:rsidRPr="00D71358" w:rsidRDefault="000C4140" w:rsidP="000C4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140" w:rsidRPr="00D71358" w:rsidRDefault="000C4140" w:rsidP="000C4140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358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D71358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4A0755" w:rsidRPr="00D71358" w:rsidRDefault="000C4140" w:rsidP="006857F1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 w:rsidRPr="00D71358">
        <w:rPr>
          <w:rFonts w:ascii="Times New Roman" w:hAnsi="Times New Roman"/>
          <w:b/>
          <w:sz w:val="24"/>
          <w:szCs w:val="24"/>
        </w:rPr>
        <w:t>Prefeito Municipal</w:t>
      </w:r>
    </w:p>
    <w:sectPr w:rsidR="004A0755" w:rsidRPr="00D71358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5297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5297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C52979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529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5297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5297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</w:t>
                </w:r>
                <w:r>
                  <w:t>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C52979">
    <w:pPr>
      <w:pStyle w:val="Cabealho"/>
    </w:pPr>
  </w:p>
  <w:p w:rsidR="00250EFB" w:rsidRPr="006877A3" w:rsidRDefault="00C52979">
    <w:pPr>
      <w:pStyle w:val="Cabealho"/>
    </w:pPr>
  </w:p>
  <w:p w:rsidR="00250EFB" w:rsidRPr="006877A3" w:rsidRDefault="00C52979">
    <w:pPr>
      <w:pStyle w:val="Cabealho"/>
    </w:pPr>
  </w:p>
  <w:p w:rsidR="00250EFB" w:rsidRPr="006877A3" w:rsidRDefault="00C5297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529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C4140"/>
    <w:rsid w:val="00094904"/>
    <w:rsid w:val="000C4140"/>
    <w:rsid w:val="00110E0F"/>
    <w:rsid w:val="003978B9"/>
    <w:rsid w:val="004A0755"/>
    <w:rsid w:val="006857F1"/>
    <w:rsid w:val="00C52979"/>
    <w:rsid w:val="00D20144"/>
    <w:rsid w:val="00D7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41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0C4140"/>
  </w:style>
  <w:style w:type="paragraph" w:styleId="Rodap">
    <w:name w:val="footer"/>
    <w:basedOn w:val="Normal"/>
    <w:link w:val="RodapChar"/>
    <w:uiPriority w:val="99"/>
    <w:unhideWhenUsed/>
    <w:rsid w:val="000C41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140"/>
  </w:style>
  <w:style w:type="character" w:styleId="Hyperlink">
    <w:name w:val="Hyperlink"/>
    <w:basedOn w:val="Fontepargpadro"/>
    <w:uiPriority w:val="99"/>
    <w:unhideWhenUsed/>
    <w:rsid w:val="000C414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C4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2017-03-28T12:22:00Z</dcterms:created>
  <dcterms:modified xsi:type="dcterms:W3CDTF">2017-03-28T19:32:00Z</dcterms:modified>
</cp:coreProperties>
</file>