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60" w:rsidRPr="00A03134" w:rsidRDefault="00E36660" w:rsidP="00A03134">
      <w:pPr>
        <w:ind w:right="-710"/>
        <w:jc w:val="center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LEI MUNICIPAL</w:t>
      </w:r>
      <w:proofErr w:type="gramStart"/>
      <w:r w:rsidRPr="00A0313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  </w:t>
      </w:r>
      <w:proofErr w:type="gramEnd"/>
      <w:r w:rsidRPr="00A0313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Nº</w:t>
      </w:r>
      <w:r w:rsidR="00AC23FF" w:rsidRPr="00A0313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654 DE 31 DE MAIO DE </w:t>
      </w:r>
      <w:r w:rsidRPr="00A03134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2017</w:t>
      </w:r>
    </w:p>
    <w:p w:rsidR="00E36660" w:rsidRPr="00A03134" w:rsidRDefault="00E36660" w:rsidP="00A03134">
      <w:pPr>
        <w:ind w:left="2977"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color w:val="000000"/>
          <w:sz w:val="24"/>
          <w:szCs w:val="24"/>
        </w:rPr>
        <w:t> </w:t>
      </w:r>
    </w:p>
    <w:p w:rsidR="00A03134" w:rsidRPr="00A03134" w:rsidRDefault="00A03134" w:rsidP="00A03134">
      <w:pPr>
        <w:ind w:left="2977" w:right="-710"/>
        <w:jc w:val="both"/>
        <w:rPr>
          <w:rFonts w:ascii="Tahoma" w:hAnsi="Tahoma" w:cs="Tahoma"/>
          <w:b/>
          <w:bCs/>
          <w:i/>
          <w:iCs/>
          <w:color w:val="000000"/>
          <w:sz w:val="24"/>
          <w:szCs w:val="24"/>
        </w:rPr>
      </w:pPr>
    </w:p>
    <w:p w:rsidR="00A03134" w:rsidRDefault="00A03134" w:rsidP="00A03134">
      <w:pPr>
        <w:ind w:left="2977" w:right="-710"/>
        <w:jc w:val="both"/>
        <w:rPr>
          <w:rFonts w:ascii="Tahoma" w:hAnsi="Tahoma" w:cs="Tahoma"/>
          <w:b/>
          <w:bCs/>
          <w:i/>
          <w:iCs/>
          <w:color w:val="000000"/>
          <w:sz w:val="24"/>
          <w:szCs w:val="24"/>
        </w:rPr>
      </w:pPr>
    </w:p>
    <w:p w:rsidR="00E36660" w:rsidRPr="00A03134" w:rsidRDefault="00E36660" w:rsidP="00A03134">
      <w:pPr>
        <w:ind w:left="2977"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i/>
          <w:iCs/>
          <w:color w:val="000000"/>
          <w:sz w:val="24"/>
          <w:szCs w:val="24"/>
        </w:rPr>
        <w:t>DISPÕE SOBRE A PROIBIÇÃO DE COBRANÇA DE TAXA DE RELIGAÇÃO DE ENERGIA ELÉTRICA E DE ÁGUA, EM CASO DE CORTE DE FORNECIMENTO POR FALTA DE PAGAMENTO.</w:t>
      </w:r>
    </w:p>
    <w:p w:rsidR="00E36660" w:rsidRPr="00A03134" w:rsidRDefault="00E36660" w:rsidP="00A03134">
      <w:pPr>
        <w:ind w:left="2977"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i/>
          <w:iCs/>
          <w:color w:val="000000"/>
          <w:sz w:val="24"/>
          <w:szCs w:val="24"/>
        </w:rPr>
        <w:t> </w:t>
      </w:r>
    </w:p>
    <w:p w:rsidR="00A03134" w:rsidRPr="00A03134" w:rsidRDefault="00A03134" w:rsidP="00A03134">
      <w:pPr>
        <w:spacing w:after="120"/>
        <w:ind w:right="-710" w:firstLine="708"/>
        <w:jc w:val="both"/>
        <w:rPr>
          <w:rFonts w:ascii="Tahoma" w:hAnsi="Tahoma" w:cs="Tahoma"/>
          <w:b/>
          <w:sz w:val="24"/>
          <w:szCs w:val="24"/>
        </w:rPr>
      </w:pPr>
    </w:p>
    <w:p w:rsidR="00AC23FF" w:rsidRPr="00A03134" w:rsidRDefault="00AC23FF" w:rsidP="00A03134">
      <w:pPr>
        <w:spacing w:after="120"/>
        <w:ind w:right="-710" w:firstLine="708"/>
        <w:jc w:val="both"/>
        <w:rPr>
          <w:rFonts w:ascii="Tahoma" w:hAnsi="Tahoma" w:cs="Tahoma"/>
          <w:sz w:val="24"/>
          <w:szCs w:val="24"/>
        </w:rPr>
      </w:pPr>
      <w:r w:rsidRPr="00A03134">
        <w:rPr>
          <w:rFonts w:ascii="Tahoma" w:hAnsi="Tahoma" w:cs="Tahoma"/>
          <w:b/>
          <w:sz w:val="24"/>
          <w:szCs w:val="24"/>
        </w:rPr>
        <w:t>VALDIR LUIZ SARTOR</w:t>
      </w:r>
      <w:r w:rsidRPr="00A03134">
        <w:rPr>
          <w:rFonts w:ascii="Tahoma" w:hAnsi="Tahoma" w:cs="Tahoma"/>
          <w:sz w:val="24"/>
          <w:szCs w:val="24"/>
        </w:rPr>
        <w:t xml:space="preserve"> Prefeito do Município de Deodápolis, Estado de Mato Grosso do Sul, no uso e gozo de suas atribuições legais, </w:t>
      </w:r>
      <w:r w:rsidRPr="00A03134">
        <w:rPr>
          <w:rFonts w:ascii="Tahoma" w:hAnsi="Tahoma" w:cs="Tahoma"/>
          <w:b/>
          <w:sz w:val="24"/>
          <w:szCs w:val="24"/>
        </w:rPr>
        <w:t>FAZ SABER</w:t>
      </w:r>
      <w:r w:rsidRPr="00A03134">
        <w:rPr>
          <w:rFonts w:ascii="Tahoma" w:hAnsi="Tahoma" w:cs="Tahoma"/>
          <w:sz w:val="24"/>
          <w:szCs w:val="24"/>
        </w:rPr>
        <w:t xml:space="preserve"> que a Câmara Municipal aprovou e ele sanciona e promulga a seguinte lei:</w:t>
      </w:r>
    </w:p>
    <w:p w:rsidR="00AC23FF" w:rsidRPr="00A03134" w:rsidRDefault="00AC23FF" w:rsidP="00A03134">
      <w:pPr>
        <w:spacing w:before="60" w:after="60"/>
        <w:ind w:right="-71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color w:val="000000"/>
          <w:sz w:val="24"/>
          <w:szCs w:val="24"/>
        </w:rPr>
        <w:t>Art. 1º</w:t>
      </w:r>
      <w:r w:rsidRPr="00A03134">
        <w:rPr>
          <w:rFonts w:ascii="Tahoma" w:hAnsi="Tahoma" w:cs="Tahoma"/>
          <w:color w:val="000000"/>
          <w:sz w:val="24"/>
          <w:szCs w:val="24"/>
        </w:rPr>
        <w:t xml:space="preserve"> - Fica proibida a cobrança da taxa de </w:t>
      </w:r>
      <w:proofErr w:type="spellStart"/>
      <w:r w:rsidRPr="00A03134">
        <w:rPr>
          <w:rFonts w:ascii="Tahoma" w:hAnsi="Tahoma" w:cs="Tahoma"/>
          <w:color w:val="000000"/>
          <w:sz w:val="24"/>
          <w:szCs w:val="24"/>
        </w:rPr>
        <w:t>religação</w:t>
      </w:r>
      <w:proofErr w:type="spellEnd"/>
      <w:r w:rsidRPr="00A03134">
        <w:rPr>
          <w:rFonts w:ascii="Tahoma" w:hAnsi="Tahoma" w:cs="Tahoma"/>
          <w:color w:val="000000"/>
          <w:sz w:val="24"/>
          <w:szCs w:val="24"/>
        </w:rPr>
        <w:t xml:space="preserve">, por parte das empresas concessionárias de fornecimento de energia elétrica e água da cidade de Deodápolis, por atraso no pagamento </w:t>
      </w:r>
      <w:proofErr w:type="gramStart"/>
      <w:r w:rsidRPr="00A03134">
        <w:rPr>
          <w:rFonts w:ascii="Tahoma" w:hAnsi="Tahoma" w:cs="Tahoma"/>
          <w:color w:val="000000"/>
          <w:sz w:val="24"/>
          <w:szCs w:val="24"/>
        </w:rPr>
        <w:t>das respectiva</w:t>
      </w:r>
      <w:proofErr w:type="gramEnd"/>
      <w:r w:rsidRPr="00A03134">
        <w:rPr>
          <w:rFonts w:ascii="Tahoma" w:hAnsi="Tahoma" w:cs="Tahoma"/>
          <w:color w:val="000000"/>
          <w:sz w:val="24"/>
          <w:szCs w:val="24"/>
        </w:rPr>
        <w:t xml:space="preserve"> faturas.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color w:val="000000"/>
          <w:sz w:val="24"/>
          <w:szCs w:val="24"/>
        </w:rPr>
        <w:t xml:space="preserve">PARÁGRAFO ÚNICO – </w:t>
      </w:r>
      <w:r w:rsidR="00A03134" w:rsidRPr="00A03134">
        <w:rPr>
          <w:rFonts w:ascii="Tahoma" w:hAnsi="Tahoma" w:cs="Tahoma"/>
          <w:color w:val="000000"/>
          <w:sz w:val="24"/>
          <w:szCs w:val="24"/>
        </w:rPr>
        <w:t xml:space="preserve">Esta proibição não se aplica ao </w:t>
      </w:r>
      <w:r w:rsidRPr="00A03134">
        <w:rPr>
          <w:rFonts w:ascii="Tahoma" w:hAnsi="Tahoma" w:cs="Tahoma"/>
          <w:color w:val="000000"/>
          <w:sz w:val="24"/>
          <w:szCs w:val="24"/>
        </w:rPr>
        <w:t xml:space="preserve">de interrupção de fornecimento dos aludidos </w:t>
      </w:r>
      <w:proofErr w:type="gramStart"/>
      <w:r w:rsidRPr="00A03134">
        <w:rPr>
          <w:rFonts w:ascii="Tahoma" w:hAnsi="Tahoma" w:cs="Tahoma"/>
          <w:color w:val="000000"/>
          <w:sz w:val="24"/>
          <w:szCs w:val="24"/>
        </w:rPr>
        <w:t>serviços requerida pelo consumidor</w:t>
      </w:r>
      <w:proofErr w:type="gramEnd"/>
      <w:r w:rsidRPr="00A03134">
        <w:rPr>
          <w:rFonts w:ascii="Tahoma" w:hAnsi="Tahoma" w:cs="Tahoma"/>
          <w:color w:val="000000"/>
          <w:sz w:val="24"/>
          <w:szCs w:val="24"/>
        </w:rPr>
        <w:t>.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color w:val="000000"/>
          <w:sz w:val="24"/>
          <w:szCs w:val="24"/>
        </w:rPr>
        <w:t> 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color w:val="000000"/>
          <w:sz w:val="24"/>
          <w:szCs w:val="24"/>
        </w:rPr>
        <w:t>Art. 2º</w:t>
      </w:r>
      <w:r w:rsidRPr="00A03134">
        <w:rPr>
          <w:rFonts w:ascii="Tahoma" w:hAnsi="Tahoma" w:cs="Tahoma"/>
          <w:color w:val="000000"/>
          <w:sz w:val="24"/>
          <w:szCs w:val="24"/>
        </w:rPr>
        <w:t> - No caso de corte de fornecimento, por atraso no pagamento do débito que originou o corte, a concessionária tem que restabelecer o fornecimento de energia elétrica, sem qualquer ônus ao consumidor, no prazo máximo de 24</w:t>
      </w:r>
      <w:r w:rsidR="00A03134" w:rsidRPr="00A03134">
        <w:rPr>
          <w:rFonts w:ascii="Tahoma" w:hAnsi="Tahoma" w:cs="Tahoma"/>
          <w:color w:val="000000"/>
          <w:sz w:val="24"/>
          <w:szCs w:val="24"/>
        </w:rPr>
        <w:t xml:space="preserve"> (vinte e quatro) horas, após a quitação do débito correspondente.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color w:val="000000"/>
          <w:sz w:val="24"/>
          <w:szCs w:val="24"/>
        </w:rPr>
        <w:t> 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color w:val="000000"/>
          <w:sz w:val="24"/>
          <w:szCs w:val="24"/>
        </w:rPr>
        <w:t>Art. 3º -</w:t>
      </w:r>
      <w:r w:rsidRPr="00A03134">
        <w:rPr>
          <w:rFonts w:ascii="Tahoma" w:hAnsi="Tahoma" w:cs="Tahoma"/>
          <w:color w:val="000000"/>
          <w:sz w:val="24"/>
          <w:szCs w:val="24"/>
        </w:rPr>
        <w:t xml:space="preserve"> As concessionárias deverão informar ao consumidor sobre a gratuidade do serviço de </w:t>
      </w:r>
      <w:proofErr w:type="spellStart"/>
      <w:r w:rsidRPr="00A03134">
        <w:rPr>
          <w:rFonts w:ascii="Tahoma" w:hAnsi="Tahoma" w:cs="Tahoma"/>
          <w:color w:val="000000"/>
          <w:sz w:val="24"/>
          <w:szCs w:val="24"/>
        </w:rPr>
        <w:t>religação</w:t>
      </w:r>
      <w:proofErr w:type="spellEnd"/>
      <w:r w:rsidRPr="00A03134">
        <w:rPr>
          <w:rFonts w:ascii="Tahoma" w:hAnsi="Tahoma" w:cs="Tahoma"/>
          <w:color w:val="000000"/>
          <w:sz w:val="24"/>
          <w:szCs w:val="24"/>
        </w:rPr>
        <w:t xml:space="preserve">, em suas respectivas faturas de cobrança e em seus sítios eletrônicos.  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color w:val="000000"/>
          <w:sz w:val="24"/>
          <w:szCs w:val="24"/>
        </w:rPr>
        <w:t> </w:t>
      </w:r>
    </w:p>
    <w:p w:rsidR="00A03134" w:rsidRPr="00A03134" w:rsidRDefault="00A03134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color w:val="000000"/>
          <w:sz w:val="24"/>
          <w:szCs w:val="24"/>
        </w:rPr>
        <w:t>Art. 4º</w:t>
      </w:r>
      <w:r w:rsidRPr="00A03134">
        <w:rPr>
          <w:rFonts w:ascii="Tahoma" w:hAnsi="Tahoma" w:cs="Tahoma"/>
          <w:color w:val="000000"/>
          <w:sz w:val="24"/>
          <w:szCs w:val="24"/>
        </w:rPr>
        <w:t xml:space="preserve"> - Fica vedado o corte de fornecimento de energia elétrica para as unidades da administração pública direta, responsáveis pela manutenção dos serviços essenciais a população.</w:t>
      </w:r>
    </w:p>
    <w:p w:rsidR="00A03134" w:rsidRPr="00A03134" w:rsidRDefault="00A03134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color w:val="000000"/>
          <w:sz w:val="24"/>
          <w:szCs w:val="24"/>
        </w:rPr>
        <w:t>Art.</w:t>
      </w:r>
      <w:r w:rsidR="00A03134" w:rsidRPr="00A03134">
        <w:rPr>
          <w:rFonts w:ascii="Tahoma" w:hAnsi="Tahoma" w:cs="Tahoma"/>
          <w:b/>
          <w:bCs/>
          <w:color w:val="000000"/>
          <w:sz w:val="24"/>
          <w:szCs w:val="24"/>
        </w:rPr>
        <w:t xml:space="preserve"> 5</w:t>
      </w:r>
      <w:r w:rsidRPr="00A03134">
        <w:rPr>
          <w:rFonts w:ascii="Tahoma" w:hAnsi="Tahoma" w:cs="Tahoma"/>
          <w:b/>
          <w:bCs/>
          <w:color w:val="000000"/>
          <w:sz w:val="24"/>
          <w:szCs w:val="24"/>
        </w:rPr>
        <w:t>º -</w:t>
      </w:r>
      <w:r w:rsidRPr="00A03134">
        <w:rPr>
          <w:rFonts w:ascii="Tahoma" w:hAnsi="Tahoma" w:cs="Tahoma"/>
          <w:color w:val="000000"/>
          <w:sz w:val="24"/>
          <w:szCs w:val="24"/>
        </w:rPr>
        <w:t xml:space="preserve"> Em caso de descumprimento desta Lei, as concessionárias serão multadas em 1.000 </w:t>
      </w:r>
      <w:proofErr w:type="spellStart"/>
      <w:r w:rsidRPr="00A03134">
        <w:rPr>
          <w:rFonts w:ascii="Tahoma" w:hAnsi="Tahoma" w:cs="Tahoma"/>
          <w:color w:val="000000"/>
          <w:sz w:val="24"/>
          <w:szCs w:val="24"/>
        </w:rPr>
        <w:t>UFID’s</w:t>
      </w:r>
      <w:proofErr w:type="spellEnd"/>
      <w:r w:rsidRPr="00A03134">
        <w:rPr>
          <w:rFonts w:ascii="Tahoma" w:hAnsi="Tahoma" w:cs="Tahoma"/>
          <w:color w:val="000000"/>
          <w:sz w:val="24"/>
          <w:szCs w:val="24"/>
        </w:rPr>
        <w:t xml:space="preserve"> (UNIDADE FISCAL DE DEODÁPOLIS), sem prejuízo das medidas previstas no Código de Defesa do Consumidor, Lei nº 8.078, de 11 de setembro de 1.990</w:t>
      </w:r>
    </w:p>
    <w:p w:rsidR="00E36660" w:rsidRPr="00A03134" w:rsidRDefault="00E36660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color w:val="000000"/>
          <w:sz w:val="24"/>
          <w:szCs w:val="24"/>
        </w:rPr>
        <w:t> </w:t>
      </w:r>
    </w:p>
    <w:p w:rsidR="00E36660" w:rsidRPr="00A03134" w:rsidRDefault="00A03134" w:rsidP="00A03134">
      <w:pPr>
        <w:spacing w:before="60" w:after="60"/>
        <w:ind w:right="-710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b/>
          <w:bCs/>
          <w:color w:val="000000"/>
          <w:sz w:val="24"/>
          <w:szCs w:val="24"/>
        </w:rPr>
        <w:t>Art. 6</w:t>
      </w:r>
      <w:r w:rsidR="00E36660" w:rsidRPr="00A03134">
        <w:rPr>
          <w:rFonts w:ascii="Tahoma" w:hAnsi="Tahoma" w:cs="Tahoma"/>
          <w:b/>
          <w:bCs/>
          <w:color w:val="000000"/>
          <w:sz w:val="24"/>
          <w:szCs w:val="24"/>
        </w:rPr>
        <w:t>º -</w:t>
      </w:r>
      <w:r w:rsidR="00E36660" w:rsidRPr="00A03134">
        <w:rPr>
          <w:rFonts w:ascii="Tahoma" w:hAnsi="Tahoma" w:cs="Tahoma"/>
          <w:color w:val="000000"/>
          <w:sz w:val="24"/>
          <w:szCs w:val="24"/>
        </w:rPr>
        <w:t> Esta Lei entra em vigor na data de sua publicação.</w:t>
      </w:r>
    </w:p>
    <w:p w:rsidR="00A03134" w:rsidRPr="00A03134" w:rsidRDefault="00E36660" w:rsidP="00A03134">
      <w:pPr>
        <w:spacing w:after="120"/>
        <w:ind w:right="-710" w:firstLine="1134"/>
        <w:jc w:val="both"/>
        <w:rPr>
          <w:rFonts w:ascii="Tahoma" w:hAnsi="Tahoma" w:cs="Tahoma"/>
          <w:color w:val="000000"/>
          <w:sz w:val="24"/>
          <w:szCs w:val="24"/>
        </w:rPr>
      </w:pPr>
      <w:r w:rsidRPr="00A03134">
        <w:rPr>
          <w:rFonts w:ascii="Tahoma" w:hAnsi="Tahoma" w:cs="Tahoma"/>
          <w:color w:val="000000"/>
          <w:sz w:val="24"/>
          <w:szCs w:val="24"/>
        </w:rPr>
        <w:t> </w:t>
      </w:r>
    </w:p>
    <w:p w:rsidR="00A03134" w:rsidRPr="00A03134" w:rsidRDefault="00A03134" w:rsidP="00A03134">
      <w:pPr>
        <w:spacing w:after="120"/>
        <w:ind w:right="-710" w:firstLine="1134"/>
        <w:jc w:val="both"/>
        <w:rPr>
          <w:rFonts w:ascii="Tahoma" w:hAnsi="Tahoma" w:cs="Tahoma"/>
          <w:sz w:val="24"/>
          <w:szCs w:val="24"/>
        </w:rPr>
      </w:pPr>
      <w:r w:rsidRPr="00A03134">
        <w:rPr>
          <w:rFonts w:ascii="Tahoma" w:hAnsi="Tahoma" w:cs="Tahoma"/>
          <w:sz w:val="24"/>
          <w:szCs w:val="24"/>
        </w:rPr>
        <w:lastRenderedPageBreak/>
        <w:t>Gabinete do Prefeito Municipal de Deodápolis, Estado de Mato Grosso do Sul, aos 31 (trinta e um) dias do mês de maio de 2017.</w:t>
      </w:r>
    </w:p>
    <w:p w:rsidR="00A03134" w:rsidRPr="00A03134" w:rsidRDefault="00A03134" w:rsidP="00A03134">
      <w:pPr>
        <w:spacing w:after="120"/>
        <w:ind w:right="-710" w:firstLine="1134"/>
        <w:jc w:val="both"/>
        <w:rPr>
          <w:rFonts w:ascii="Tahoma" w:hAnsi="Tahoma" w:cs="Tahoma"/>
          <w:sz w:val="24"/>
          <w:szCs w:val="24"/>
        </w:rPr>
      </w:pPr>
    </w:p>
    <w:p w:rsidR="00A03134" w:rsidRPr="00A03134" w:rsidRDefault="00A03134" w:rsidP="00A03134">
      <w:pPr>
        <w:spacing w:after="120"/>
        <w:ind w:right="-710"/>
        <w:jc w:val="both"/>
        <w:rPr>
          <w:rFonts w:ascii="Tahoma" w:hAnsi="Tahoma" w:cs="Tahoma"/>
          <w:b/>
          <w:sz w:val="24"/>
          <w:szCs w:val="24"/>
        </w:rPr>
      </w:pPr>
    </w:p>
    <w:p w:rsidR="00A03134" w:rsidRPr="00A03134" w:rsidRDefault="00A03134" w:rsidP="00A03134">
      <w:pPr>
        <w:spacing w:after="120"/>
        <w:ind w:right="-710"/>
        <w:jc w:val="both"/>
        <w:rPr>
          <w:rFonts w:ascii="Tahoma" w:hAnsi="Tahoma" w:cs="Tahoma"/>
          <w:b/>
          <w:sz w:val="24"/>
          <w:szCs w:val="24"/>
        </w:rPr>
      </w:pPr>
    </w:p>
    <w:p w:rsidR="00A03134" w:rsidRPr="00A03134" w:rsidRDefault="00A03134" w:rsidP="00A03134">
      <w:pPr>
        <w:spacing w:after="120"/>
        <w:ind w:right="-710"/>
        <w:jc w:val="center"/>
        <w:rPr>
          <w:rFonts w:ascii="Tahoma" w:hAnsi="Tahoma" w:cs="Tahoma"/>
          <w:b/>
          <w:bCs/>
          <w:sz w:val="24"/>
          <w:szCs w:val="24"/>
        </w:rPr>
      </w:pPr>
      <w:r w:rsidRPr="00A03134">
        <w:rPr>
          <w:rFonts w:ascii="Tahoma" w:hAnsi="Tahoma" w:cs="Tahoma"/>
          <w:b/>
          <w:bCs/>
          <w:sz w:val="24"/>
          <w:szCs w:val="24"/>
        </w:rPr>
        <w:t xml:space="preserve">Valdir Luiz </w:t>
      </w:r>
      <w:proofErr w:type="spellStart"/>
      <w:r w:rsidRPr="00A03134">
        <w:rPr>
          <w:rFonts w:ascii="Tahoma" w:hAnsi="Tahoma" w:cs="Tahoma"/>
          <w:b/>
          <w:bCs/>
          <w:sz w:val="24"/>
          <w:szCs w:val="24"/>
        </w:rPr>
        <w:t>Sartor</w:t>
      </w:r>
      <w:proofErr w:type="spellEnd"/>
    </w:p>
    <w:p w:rsidR="00A03134" w:rsidRPr="00A03134" w:rsidRDefault="00A03134" w:rsidP="00A03134">
      <w:pPr>
        <w:ind w:left="2832" w:right="-710" w:firstLine="708"/>
        <w:rPr>
          <w:rFonts w:ascii="Tahoma" w:hAnsi="Tahoma" w:cs="Tahoma"/>
          <w:sz w:val="24"/>
          <w:szCs w:val="24"/>
        </w:rPr>
      </w:pPr>
      <w:r w:rsidRPr="00A03134">
        <w:rPr>
          <w:rFonts w:ascii="Tahoma" w:hAnsi="Tahoma" w:cs="Tahoma"/>
          <w:b/>
          <w:sz w:val="24"/>
          <w:szCs w:val="24"/>
        </w:rPr>
        <w:t>Prefeito Municipal</w:t>
      </w:r>
    </w:p>
    <w:p w:rsidR="00E36660" w:rsidRPr="00A03134" w:rsidRDefault="00E36660" w:rsidP="00A03134">
      <w:pPr>
        <w:spacing w:before="60" w:after="60"/>
        <w:ind w:left="567" w:right="-710" w:firstLine="2833"/>
        <w:jc w:val="center"/>
        <w:rPr>
          <w:rFonts w:ascii="Tahoma" w:hAnsi="Tahoma" w:cs="Tahoma"/>
          <w:color w:val="000000"/>
          <w:sz w:val="24"/>
          <w:szCs w:val="24"/>
        </w:rPr>
      </w:pPr>
    </w:p>
    <w:sectPr w:rsidR="00E36660" w:rsidRPr="00A03134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5307C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F5307C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F5307C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530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F5307C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F5307C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</w:t>
                </w:r>
                <w:r>
                  <w:t xml:space="preserve">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F5307C">
    <w:pPr>
      <w:pStyle w:val="Cabealho"/>
    </w:pPr>
  </w:p>
  <w:p w:rsidR="00250EFB" w:rsidRPr="006877A3" w:rsidRDefault="00F5307C">
    <w:pPr>
      <w:pStyle w:val="Cabealho"/>
    </w:pPr>
  </w:p>
  <w:p w:rsidR="00250EFB" w:rsidRPr="006877A3" w:rsidRDefault="00F5307C">
    <w:pPr>
      <w:pStyle w:val="Cabealho"/>
    </w:pPr>
  </w:p>
  <w:p w:rsidR="00250EFB" w:rsidRPr="006877A3" w:rsidRDefault="00F5307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F530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36660"/>
    <w:rsid w:val="00324C7D"/>
    <w:rsid w:val="00A03134"/>
    <w:rsid w:val="00AC23FF"/>
    <w:rsid w:val="00E36660"/>
    <w:rsid w:val="00F5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6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6660"/>
  </w:style>
  <w:style w:type="paragraph" w:styleId="Rodap">
    <w:name w:val="footer"/>
    <w:basedOn w:val="Normal"/>
    <w:link w:val="RodapChar"/>
    <w:uiPriority w:val="99"/>
    <w:unhideWhenUsed/>
    <w:rsid w:val="00E366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6660"/>
  </w:style>
  <w:style w:type="character" w:styleId="Hyperlink">
    <w:name w:val="Hyperlink"/>
    <w:basedOn w:val="Fontepargpadro"/>
    <w:uiPriority w:val="99"/>
    <w:unhideWhenUsed/>
    <w:rsid w:val="00E366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2017-05-31T19:19:00Z</dcterms:created>
  <dcterms:modified xsi:type="dcterms:W3CDTF">2017-05-31T19:47:00Z</dcterms:modified>
</cp:coreProperties>
</file>