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18" w:rsidRPr="00E55329" w:rsidRDefault="004E0618" w:rsidP="004E0618">
      <w:pPr>
        <w:spacing w:before="120" w:after="120"/>
        <w:ind w:right="-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EMENDA À LEI ORGÂNICA Nº 001/2018</w:t>
      </w:r>
    </w:p>
    <w:p w:rsidR="004E0618" w:rsidRPr="00E55329" w:rsidRDefault="004E0618" w:rsidP="004E0618">
      <w:pPr>
        <w:spacing w:before="120" w:after="120"/>
        <w:ind w:left="4395"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E0618" w:rsidRPr="00B77439" w:rsidRDefault="004E0618" w:rsidP="004E0618">
      <w:pPr>
        <w:spacing w:before="120" w:after="120"/>
        <w:ind w:left="4395" w:right="-568"/>
        <w:jc w:val="both"/>
        <w:rPr>
          <w:rFonts w:ascii="Times New Roman" w:eastAsia="Times New Roman" w:hAnsi="Times New Roman"/>
          <w:b/>
          <w:i/>
          <w:vanish/>
          <w:color w:val="FF0000"/>
          <w:sz w:val="24"/>
          <w:szCs w:val="24"/>
          <w:lang w:eastAsia="pt-BR"/>
        </w:rPr>
      </w:pPr>
    </w:p>
    <w:p w:rsidR="004E0618" w:rsidRPr="00B77439" w:rsidRDefault="004E0618" w:rsidP="004E0618">
      <w:pPr>
        <w:spacing w:after="120"/>
        <w:ind w:left="4395" w:right="-1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  <w:bookmarkStart w:id="0" w:name="{83F8}"/>
      <w:bookmarkEnd w:id="0"/>
      <w:r w:rsidRPr="00B77439">
        <w:rPr>
          <w:rFonts w:ascii="Times New Roman" w:hAnsi="Times New Roman"/>
          <w:b/>
          <w:i/>
          <w:iCs/>
          <w:sz w:val="24"/>
          <w:szCs w:val="24"/>
        </w:rPr>
        <w:t>Altera dispositivos da Lei Orgânica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do Município de </w:t>
      </w:r>
      <w:proofErr w:type="spellStart"/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Deodápolis-MS</w:t>
      </w:r>
      <w:proofErr w:type="spellEnd"/>
      <w:proofErr w:type="gramEnd"/>
      <w:r>
        <w:rPr>
          <w:rFonts w:ascii="Times New Roman" w:hAnsi="Times New Roman"/>
          <w:b/>
          <w:i/>
          <w:iCs/>
          <w:sz w:val="24"/>
          <w:szCs w:val="24"/>
        </w:rPr>
        <w:t>” e dá outras providências.</w:t>
      </w:r>
    </w:p>
    <w:p w:rsidR="004E0618" w:rsidRPr="00625813" w:rsidRDefault="004E0618" w:rsidP="004E0618">
      <w:pPr>
        <w:tabs>
          <w:tab w:val="left" w:pos="709"/>
          <w:tab w:val="center" w:pos="4419"/>
          <w:tab w:val="right" w:pos="8838"/>
        </w:tabs>
        <w:spacing w:after="120"/>
        <w:ind w:right="-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0618" w:rsidRPr="00C40CFE" w:rsidRDefault="004E0618" w:rsidP="004E0618">
      <w:pPr>
        <w:spacing w:after="120"/>
        <w:ind w:right="-568" w:firstLine="993"/>
        <w:jc w:val="both"/>
        <w:rPr>
          <w:rFonts w:ascii="Times New Roman" w:hAnsi="Times New Roman"/>
          <w:sz w:val="24"/>
          <w:szCs w:val="24"/>
        </w:rPr>
      </w:pPr>
      <w:r w:rsidRPr="00C40CFE">
        <w:rPr>
          <w:rFonts w:ascii="Times New Roman" w:hAnsi="Times New Roman"/>
          <w:sz w:val="24"/>
          <w:szCs w:val="24"/>
        </w:rPr>
        <w:t xml:space="preserve">A </w:t>
      </w:r>
      <w:r w:rsidRPr="00C40CFE">
        <w:rPr>
          <w:rFonts w:ascii="Times New Roman" w:hAnsi="Times New Roman"/>
          <w:b/>
          <w:sz w:val="24"/>
          <w:szCs w:val="24"/>
        </w:rPr>
        <w:t>CÂMARA MUNICIPAL DE DEODÁPOLIS-MS,</w:t>
      </w:r>
      <w:r w:rsidRPr="00C40CFE">
        <w:rPr>
          <w:rFonts w:ascii="Times New Roman" w:hAnsi="Times New Roman"/>
          <w:sz w:val="24"/>
          <w:szCs w:val="24"/>
        </w:rPr>
        <w:t xml:space="preserve"> Estado do Mato Grosso do Sul, aprova:</w:t>
      </w:r>
    </w:p>
    <w:p w:rsidR="004E0618" w:rsidRPr="006952EF" w:rsidRDefault="004E0618" w:rsidP="004E0618">
      <w:pPr>
        <w:spacing w:after="120"/>
        <w:ind w:right="-568" w:firstLine="993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:rsidR="004E0618" w:rsidRDefault="004E0618" w:rsidP="004E0618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 w:rsidRPr="006952EF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6952EF">
        <w:rPr>
          <w:rFonts w:ascii="Times New Roman" w:hAnsi="Times New Roman"/>
          <w:bCs/>
          <w:sz w:val="24"/>
          <w:szCs w:val="24"/>
        </w:rPr>
        <w:t>Fica alterado</w:t>
      </w:r>
      <w:r w:rsidRPr="006952EF">
        <w:rPr>
          <w:rFonts w:ascii="Times New Roman" w:hAnsi="Times New Roman"/>
          <w:sz w:val="24"/>
          <w:szCs w:val="24"/>
        </w:rPr>
        <w:t xml:space="preserve"> o artigo 33 da Lei Orgânica do Município de Deodápolis, passando a vigorar com a seguinte redação:</w:t>
      </w:r>
    </w:p>
    <w:p w:rsidR="004E0618" w:rsidRPr="006952EF" w:rsidRDefault="004E0618" w:rsidP="004E0618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E0618" w:rsidRPr="006952EF" w:rsidRDefault="004E0618" w:rsidP="004E0618">
      <w:pPr>
        <w:pStyle w:val="Corpodetexto"/>
        <w:ind w:right="23"/>
        <w:jc w:val="both"/>
        <w:rPr>
          <w:b w:val="0"/>
          <w:i/>
        </w:rPr>
      </w:pPr>
      <w:r w:rsidRPr="006952EF">
        <w:rPr>
          <w:b w:val="0"/>
          <w:i/>
        </w:rPr>
        <w:t>Art. 33 - A fiscalização contábil, financeira, orçamentária, operacional e patrimonial do Município e das entidades</w:t>
      </w:r>
      <w:r>
        <w:rPr>
          <w:b w:val="0"/>
          <w:i/>
        </w:rPr>
        <w:t xml:space="preserve"> </w:t>
      </w:r>
      <w:r w:rsidRPr="006952EF">
        <w:rPr>
          <w:b w:val="0"/>
          <w:i/>
        </w:rPr>
        <w:t>da administração</w:t>
      </w:r>
      <w:r>
        <w:rPr>
          <w:b w:val="0"/>
          <w:i/>
        </w:rPr>
        <w:t xml:space="preserve"> </w:t>
      </w:r>
      <w:r w:rsidRPr="006952EF">
        <w:rPr>
          <w:b w:val="0"/>
          <w:i/>
        </w:rPr>
        <w:t>direta e indireta, inclusive fundos municipais,</w:t>
      </w:r>
      <w:r>
        <w:rPr>
          <w:b w:val="0"/>
          <w:i/>
        </w:rPr>
        <w:t xml:space="preserve"> </w:t>
      </w:r>
      <w:r w:rsidRPr="006952EF">
        <w:rPr>
          <w:b w:val="0"/>
          <w:i/>
        </w:rPr>
        <w:t xml:space="preserve">quanto à legalidade, legitimidade, economicidade, aplicação das subvenções e renúncia de receitas, será exercida pela Câmara Municipal, mediante controle externo, e pelo sistema de controle interno de cada Poder. </w:t>
      </w:r>
    </w:p>
    <w:p w:rsidR="004E0618" w:rsidRDefault="004E0618" w:rsidP="004E0618">
      <w:pPr>
        <w:spacing w:after="120"/>
        <w:ind w:firstLine="1134"/>
        <w:jc w:val="both"/>
        <w:rPr>
          <w:rFonts w:ascii="Times New Roman" w:hAnsi="Times New Roman"/>
          <w:i/>
          <w:sz w:val="24"/>
          <w:szCs w:val="24"/>
        </w:rPr>
      </w:pPr>
    </w:p>
    <w:p w:rsidR="004E0618" w:rsidRDefault="004E0618" w:rsidP="004E0618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 w:rsidRPr="000C4EC9">
        <w:rPr>
          <w:rFonts w:ascii="Times New Roman" w:hAnsi="Times New Roman"/>
          <w:b/>
          <w:sz w:val="24"/>
          <w:szCs w:val="24"/>
        </w:rPr>
        <w:t xml:space="preserve">Art. 2º </w:t>
      </w:r>
      <w:r>
        <w:rPr>
          <w:rFonts w:ascii="Times New Roman" w:hAnsi="Times New Roman"/>
          <w:sz w:val="24"/>
          <w:szCs w:val="24"/>
        </w:rPr>
        <w:t>Fica alterado o artigo 34 da Lei Orgânica do Município de Deodápolis, passando a vigorar com a seguinte redação: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  <w:szCs w:val="24"/>
        </w:rPr>
        <w:t>Art. 34 –</w:t>
      </w:r>
      <w:r w:rsidRPr="000C4EC9">
        <w:rPr>
          <w:b w:val="0"/>
          <w:i/>
        </w:rPr>
        <w:t xml:space="preserve"> O controle externo é atividade indeclinável da Câmara Municipal e será exercido com o auxílio técnico do Tribunal de Contas do Estado de Mato Grosso do Sul, por meio de parecer prévio, nos termos do artigo 31e 71 da Constituição Federal.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 xml:space="preserve">§ 1º Dentro de noventa dias seguintes ao encerramento do exercício financeiro, as contas anuais de governo representadas pelo Balanço Geral e as que se referem aos resultados gerais do exercício financeiro deverão ser apresentadas ao Poder Legislativo e ao Tribunal de Contas do Estado de Mato Grosso do Sul. 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>§ 2º O envio dos processos de Prestação de Contas de Gestão para exame do Tribunal de Contas, ou seja, aquelas que abrangem resultados específicos de determinado ato d</w:t>
      </w:r>
      <w:r>
        <w:rPr>
          <w:b w:val="0"/>
          <w:i/>
        </w:rPr>
        <w:t xml:space="preserve">e governo, tais como </w:t>
      </w:r>
      <w:proofErr w:type="gramStart"/>
      <w:r>
        <w:rPr>
          <w:b w:val="0"/>
          <w:i/>
        </w:rPr>
        <w:t xml:space="preserve">contratos, </w:t>
      </w:r>
      <w:r w:rsidRPr="000C4EC9">
        <w:rPr>
          <w:b w:val="0"/>
          <w:i/>
        </w:rPr>
        <w:t>convênios</w:t>
      </w:r>
      <w:proofErr w:type="gramEnd"/>
      <w:r w:rsidRPr="000C4EC9">
        <w:rPr>
          <w:b w:val="0"/>
          <w:i/>
        </w:rPr>
        <w:t xml:space="preserve"> e outros instrumentos congêneres obedecerão ao calendário de obrigações definidos por lei de iniciativa conjunta dos Poderes Executivo e Legislativo Municipal.   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>§ 3º Se até esse prazo estabelecido por lei não tiverem sido apresentadas as contas, a Comissão Permanente de Fiscalização o fará em trinta dias por meio de uma Tomada de Contas.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>§ 4º O Presidente da Câmara deverá, pelo prazo de sessenta dias,</w:t>
      </w:r>
      <w:r>
        <w:rPr>
          <w:b w:val="0"/>
          <w:i/>
        </w:rPr>
        <w:t xml:space="preserve"> colocar </w:t>
      </w:r>
      <w:r w:rsidRPr="000C4EC9">
        <w:rPr>
          <w:b w:val="0"/>
          <w:i/>
        </w:rPr>
        <w:t xml:space="preserve">à disposição de qualquer cidadão o referido processo de prestação de contas de Governo, inclusive </w:t>
      </w:r>
      <w:r w:rsidRPr="000C4EC9">
        <w:rPr>
          <w:b w:val="0"/>
          <w:i/>
        </w:rPr>
        <w:lastRenderedPageBreak/>
        <w:t>por meios eletrônicos, para exame e apreciação, o qual poderá questionar-lhes a legitimidade na forma da lei.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 xml:space="preserve">§ 5º O parecer prévio, emitido pelo Tribunal </w:t>
      </w:r>
      <w:r>
        <w:rPr>
          <w:b w:val="0"/>
          <w:i/>
        </w:rPr>
        <w:t xml:space="preserve">de Contas na Prestação de Contas </w:t>
      </w:r>
      <w:r w:rsidRPr="000C4EC9">
        <w:rPr>
          <w:b w:val="0"/>
          <w:i/>
        </w:rPr>
        <w:t xml:space="preserve">de Governo, por ter caráter opinativo, deverá ser obrigatoriamente apreciado pelo Plenário da Câmara e só poderá ser desconstituído ou contrariado por decisão de 2/3 dos vereadores. 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>§ 6º As deliberações do Tribunal de Contas proferidas nos Processos de Prestação de Contas de Gestão ou de Governo e que apresentarem a imputação de obrigação de fazer ou qualquer tipo de sanção aos gestores municipais, deverão ser encaminhadas à Câmara de vereadores após a sua finalização e só produzirão efeitos após homologação por Decreto Legislativo.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>§ 7º Dependerá de autorização legislativa a inscrição de prefeito, vice-prefeito e vereador em dívida ativa municipal, com relação às deliberações do Tribunal de Contas do Estado.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</w:p>
    <w:p w:rsidR="004E0618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>§ 8º As decisões de que trata o § 4º, do artigo 77 da Constituição Estadual, em obediência aos artigos 31 e 37 da Constituição Federal, só terão eficácia após serem homologadas pelo Plenário da Câmara, por maioria qualificada, sendo que as multas e débitos delas originados deverão ser recolhidos aos cofres da Prefeitura, cuja execução da cobrança ficará a cargo do Município.</w:t>
      </w:r>
    </w:p>
    <w:p w:rsidR="004E0618" w:rsidRDefault="004E0618" w:rsidP="004E0618">
      <w:pPr>
        <w:pStyle w:val="Corpodetexto"/>
        <w:ind w:right="23"/>
        <w:jc w:val="both"/>
        <w:rPr>
          <w:b w:val="0"/>
          <w:i/>
        </w:rPr>
      </w:pPr>
    </w:p>
    <w:p w:rsidR="004E0618" w:rsidRPr="009D01E8" w:rsidRDefault="004E0618" w:rsidP="004E0618">
      <w:pPr>
        <w:pStyle w:val="Corpodetexto"/>
        <w:ind w:right="23"/>
        <w:jc w:val="both"/>
        <w:rPr>
          <w:b w:val="0"/>
          <w:i/>
        </w:rPr>
      </w:pPr>
      <w:r>
        <w:rPr>
          <w:b w:val="0"/>
          <w:i/>
        </w:rPr>
        <w:t xml:space="preserve">§ </w:t>
      </w:r>
      <w:r w:rsidRPr="009D01E8">
        <w:rPr>
          <w:b w:val="0"/>
          <w:i/>
        </w:rPr>
        <w:t>9º O agente político fiscalizado é parte legítima para, na forma da lei, apresentar cópia do procedimento administrativo que tramitou no Tribunal de Contas, o qual tenha originado obrigação ou sanção, para deliberação do Plenário da Câmara de vereadores.</w:t>
      </w:r>
    </w:p>
    <w:p w:rsidR="004E0618" w:rsidRPr="006B36FC" w:rsidRDefault="004E0618" w:rsidP="004E0618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E0618" w:rsidRDefault="004E0618" w:rsidP="004E0618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Pr="000C4EC9">
        <w:rPr>
          <w:rFonts w:ascii="Times New Roman" w:hAnsi="Times New Roman"/>
          <w:b/>
          <w:sz w:val="24"/>
          <w:szCs w:val="24"/>
        </w:rPr>
        <w:t xml:space="preserve">º </w:t>
      </w:r>
      <w:r>
        <w:rPr>
          <w:rFonts w:ascii="Times New Roman" w:hAnsi="Times New Roman"/>
          <w:sz w:val="24"/>
          <w:szCs w:val="24"/>
        </w:rPr>
        <w:t>Fica alterado o artigo 35 da Lei Orgânica do Município de Deodápolis, passando a vigorar com a seguinte redação: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>Art. 35</w:t>
      </w:r>
      <w:r>
        <w:rPr>
          <w:b w:val="0"/>
          <w:i/>
        </w:rPr>
        <w:t>-</w:t>
      </w:r>
      <w:r w:rsidRPr="000C4EC9">
        <w:rPr>
          <w:b w:val="0"/>
          <w:i/>
        </w:rPr>
        <w:t xml:space="preserve"> A Comissão Permanente de Fiscalização, diante de indícios de despesas não autorizadas, ainda que sob a forma de investimentos não aprovados, poderá solicitar da autoridade responsável que, no prazo de dez dias, preste os esclarecimentos necessários.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 xml:space="preserve">§ </w:t>
      </w:r>
      <w:proofErr w:type="gramStart"/>
      <w:r w:rsidRPr="000C4EC9">
        <w:rPr>
          <w:b w:val="0"/>
          <w:i/>
        </w:rPr>
        <w:t xml:space="preserve">1º </w:t>
      </w:r>
      <w:r>
        <w:rPr>
          <w:b w:val="0"/>
          <w:i/>
        </w:rPr>
        <w:t>...</w:t>
      </w:r>
      <w:proofErr w:type="gramEnd"/>
    </w:p>
    <w:p w:rsidR="004E0618" w:rsidRPr="000C4EC9" w:rsidRDefault="004E0618" w:rsidP="004E0618">
      <w:pPr>
        <w:pStyle w:val="Corpodetexto"/>
        <w:spacing w:before="5"/>
        <w:ind w:right="23"/>
        <w:jc w:val="both"/>
        <w:rPr>
          <w:b w:val="0"/>
          <w:i/>
        </w:rPr>
      </w:pP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>§ 2º Quando o parecer do Tribunal de Contas for pela irregularidade</w:t>
      </w:r>
      <w:r>
        <w:rPr>
          <w:b w:val="0"/>
          <w:i/>
        </w:rPr>
        <w:t xml:space="preserve"> </w:t>
      </w:r>
      <w:r w:rsidRPr="000C4EC9">
        <w:rPr>
          <w:b w:val="0"/>
          <w:i/>
        </w:rPr>
        <w:t>da despesa e, a Comissão Permanente de Fiscalização</w:t>
      </w:r>
      <w:r>
        <w:rPr>
          <w:b w:val="0"/>
          <w:i/>
        </w:rPr>
        <w:t xml:space="preserve"> </w:t>
      </w:r>
      <w:r w:rsidRPr="000C4EC9">
        <w:rPr>
          <w:b w:val="0"/>
          <w:i/>
        </w:rPr>
        <w:t>entender que o gasto poderá causar dano irreparável ou grave lesão à economia pública proporá à Câmara Municipal a sua sustação por meio de Decreto Legislativo.</w:t>
      </w: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</w:p>
    <w:p w:rsidR="004E0618" w:rsidRPr="000C4EC9" w:rsidRDefault="004E0618" w:rsidP="004E0618">
      <w:pPr>
        <w:pStyle w:val="Corpodetexto"/>
        <w:ind w:right="23"/>
        <w:jc w:val="both"/>
        <w:rPr>
          <w:b w:val="0"/>
          <w:i/>
        </w:rPr>
      </w:pPr>
      <w:r w:rsidRPr="000C4EC9">
        <w:rPr>
          <w:b w:val="0"/>
          <w:i/>
        </w:rPr>
        <w:t>§ 3º Os danos causados ao erário pelo ato impugnado ou sustado serão imediatamente apurados por comissão específica criada para tal fim e</w:t>
      </w:r>
      <w:r>
        <w:rPr>
          <w:b w:val="0"/>
          <w:i/>
        </w:rPr>
        <w:t xml:space="preserve"> </w:t>
      </w:r>
      <w:r w:rsidRPr="000C4EC9">
        <w:rPr>
          <w:b w:val="0"/>
          <w:i/>
        </w:rPr>
        <w:t>cobrados a tantos quantos forem os servidores responsáveis pela operação ou pelo ato, independentemente das</w:t>
      </w:r>
      <w:r>
        <w:rPr>
          <w:b w:val="0"/>
          <w:i/>
        </w:rPr>
        <w:t xml:space="preserve"> </w:t>
      </w:r>
      <w:r w:rsidRPr="000C4EC9">
        <w:rPr>
          <w:b w:val="0"/>
          <w:i/>
        </w:rPr>
        <w:t xml:space="preserve">penalidades administrativas </w:t>
      </w:r>
      <w:proofErr w:type="gramStart"/>
      <w:r w:rsidRPr="000C4EC9">
        <w:rPr>
          <w:b w:val="0"/>
          <w:i/>
        </w:rPr>
        <w:t>cabíveis.</w:t>
      </w:r>
      <w:proofErr w:type="gramEnd"/>
      <w:r>
        <w:rPr>
          <w:b w:val="0"/>
          <w:i/>
        </w:rPr>
        <w:t>(NR)</w:t>
      </w:r>
    </w:p>
    <w:p w:rsidR="004E0618" w:rsidRDefault="004E0618" w:rsidP="004E0618">
      <w:pPr>
        <w:spacing w:after="1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0618" w:rsidRPr="007C2EF8" w:rsidRDefault="004E0618" w:rsidP="004E0618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</w:t>
      </w:r>
      <w:r w:rsidRPr="000C4EC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2EF8">
        <w:rPr>
          <w:rFonts w:ascii="Times New Roman" w:hAnsi="Times New Roman"/>
          <w:sz w:val="24"/>
          <w:szCs w:val="24"/>
        </w:rPr>
        <w:t>Revoga-se o § 3º do artigo 36 da Lei Orgânica do Município de Deodápolis.</w:t>
      </w:r>
    </w:p>
    <w:p w:rsidR="004E0618" w:rsidRPr="00EE69AD" w:rsidRDefault="004E0618" w:rsidP="004E0618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0618" w:rsidRDefault="004E0618" w:rsidP="004E0618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C40CFE">
        <w:rPr>
          <w:rFonts w:ascii="Times New Roman" w:hAnsi="Times New Roman"/>
          <w:b/>
          <w:sz w:val="24"/>
          <w:szCs w:val="24"/>
        </w:rPr>
        <w:t xml:space="preserve">Art. 5º - </w:t>
      </w:r>
      <w:r w:rsidRPr="00C40CFE">
        <w:rPr>
          <w:rFonts w:ascii="Times New Roman" w:hAnsi="Times New Roman"/>
          <w:sz w:val="24"/>
          <w:szCs w:val="24"/>
        </w:rPr>
        <w:t>Esta Emenda à Lei Orgânica entra em vigor na data de sua publicação</w:t>
      </w:r>
      <w:r>
        <w:rPr>
          <w:rFonts w:ascii="Times New Roman" w:hAnsi="Times New Roman"/>
          <w:sz w:val="24"/>
          <w:szCs w:val="24"/>
        </w:rPr>
        <w:t>.</w:t>
      </w:r>
    </w:p>
    <w:p w:rsidR="004E0618" w:rsidRPr="00C40CFE" w:rsidRDefault="004E0618" w:rsidP="004E0618">
      <w:pPr>
        <w:spacing w:after="12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E0618" w:rsidRPr="00E55329" w:rsidRDefault="004E0618" w:rsidP="004E0618">
      <w:pPr>
        <w:spacing w:after="120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do Prefeito Municipal de Deodápolis, Estado de Mato Grosso do Sul, aos 03 (três) dias do mês de outubro de 2018.</w:t>
      </w:r>
    </w:p>
    <w:p w:rsidR="004E0618" w:rsidRPr="00EE69AD" w:rsidRDefault="004E0618" w:rsidP="004E0618">
      <w:pPr>
        <w:spacing w:after="120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E0618" w:rsidRPr="00EE69AD" w:rsidRDefault="004E0618" w:rsidP="004E0618">
      <w:pPr>
        <w:spacing w:after="120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E0618" w:rsidRPr="00EE69AD" w:rsidRDefault="004E0618" w:rsidP="004E0618">
      <w:pPr>
        <w:spacing w:after="120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EE69AD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EE69AD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4E0618" w:rsidRPr="00EE69AD" w:rsidRDefault="004E0618" w:rsidP="004E0618">
      <w:pPr>
        <w:spacing w:after="120"/>
        <w:ind w:right="-1"/>
        <w:jc w:val="center"/>
        <w:rPr>
          <w:rFonts w:ascii="Times New Roman" w:hAnsi="Times New Roman"/>
          <w:b/>
          <w:sz w:val="24"/>
          <w:szCs w:val="24"/>
        </w:rPr>
        <w:sectPr w:rsidR="004E0618" w:rsidRPr="00EE69AD" w:rsidSect="009B2866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EE69AD">
        <w:rPr>
          <w:rFonts w:ascii="Times New Roman" w:hAnsi="Times New Roman"/>
          <w:b/>
          <w:sz w:val="24"/>
          <w:szCs w:val="24"/>
        </w:rPr>
        <w:t>Prefeito Municipal</w:t>
      </w:r>
    </w:p>
    <w:p w:rsidR="004E0618" w:rsidRDefault="004E0618" w:rsidP="004E0618">
      <w:pPr>
        <w:spacing w:after="0"/>
        <w:ind w:hanging="70"/>
        <w:jc w:val="center"/>
      </w:pPr>
    </w:p>
    <w:p w:rsidR="00760B7B" w:rsidRDefault="00760B7B"/>
    <w:p w:rsidR="004E0618" w:rsidRDefault="004E0618"/>
    <w:sectPr w:rsidR="004E0618" w:rsidSect="009B286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DC" w:rsidRDefault="00BD49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43" w:rsidRDefault="00BD495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 style="mso-next-textbox:#_x0000_s1028">
            <w:txbxContent>
              <w:p w:rsidR="00510443" w:rsidRPr="00D96B40" w:rsidRDefault="00BD4955" w:rsidP="009B2866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510443" w:rsidRDefault="00BD4955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DC" w:rsidRDefault="00BD49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43" w:rsidRDefault="00BD49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43" w:rsidRPr="006877A3" w:rsidRDefault="00BD495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-69850</wp:posOffset>
          </wp:positionH>
          <wp:positionV relativeFrom="margin">
            <wp:posOffset>-1104265</wp:posOffset>
          </wp:positionV>
          <wp:extent cx="741045" cy="1002030"/>
          <wp:effectExtent l="19050" t="0" r="1905" b="0"/>
          <wp:wrapSquare wrapText="bothSides"/>
          <wp:docPr id="1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1002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2" o:title="FUNDO3"/>
          <w10:wrap anchorx="margin" anchory="margin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 style="mso-next-textbox:#Caixa de Texto 2">
            <w:txbxContent>
              <w:p w:rsidR="00510443" w:rsidRDefault="00BD4955" w:rsidP="009B2866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510443" w:rsidRPr="006877A3" w:rsidRDefault="00BD4955">
    <w:pPr>
      <w:pStyle w:val="Cabealho"/>
    </w:pPr>
  </w:p>
  <w:p w:rsidR="00510443" w:rsidRPr="006877A3" w:rsidRDefault="00BD4955">
    <w:pPr>
      <w:pStyle w:val="Cabealho"/>
    </w:pPr>
  </w:p>
  <w:p w:rsidR="00510443" w:rsidRPr="006877A3" w:rsidRDefault="00BD4955">
    <w:pPr>
      <w:pStyle w:val="Cabealho"/>
    </w:pPr>
  </w:p>
  <w:p w:rsidR="00510443" w:rsidRPr="006877A3" w:rsidRDefault="00BD495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43" w:rsidRDefault="00BD49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E0618"/>
    <w:rsid w:val="00177631"/>
    <w:rsid w:val="004E0618"/>
    <w:rsid w:val="00760B7B"/>
    <w:rsid w:val="00BD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1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06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4E0618"/>
  </w:style>
  <w:style w:type="paragraph" w:styleId="Rodap">
    <w:name w:val="footer"/>
    <w:basedOn w:val="Normal"/>
    <w:link w:val="RodapChar"/>
    <w:uiPriority w:val="99"/>
    <w:unhideWhenUsed/>
    <w:rsid w:val="004E06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E0618"/>
  </w:style>
  <w:style w:type="character" w:styleId="Hyperlink">
    <w:name w:val="Hyperlink"/>
    <w:basedOn w:val="Fontepargpadro"/>
    <w:uiPriority w:val="99"/>
    <w:unhideWhenUsed/>
    <w:rsid w:val="004E061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rsid w:val="004E061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E0618"/>
    <w:pPr>
      <w:spacing w:after="0" w:line="240" w:lineRule="auto"/>
      <w:ind w:right="616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4E06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2018-10-03T12:04:00Z</dcterms:created>
  <dcterms:modified xsi:type="dcterms:W3CDTF">2018-10-03T12:18:00Z</dcterms:modified>
</cp:coreProperties>
</file>